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05050"/>
          <w:sz w:val="18"/>
        </w:rPr>
        <w:t>Submitted to the 10th Conference on Robot Learning (CoRL 2026). Do not distribute.</w:t>
      </w:r>
    </w:p>
    <w:p>
      <w:pPr>
        <w:jc w:val="center"/>
      </w:pPr>
      <w:r>
        <w:rPr>
          <w:b/>
          <w:sz w:val="28"/>
        </w:rPr>
        <w:t>When Reconstruction Passes:</w:t>
        <w:br/>
        <w:t>Natural-Language Autoencoders on VLA Activations</w:t>
        <w:br/>
        <w:t>Fail Grounding and Semantic Steering</w:t>
      </w:r>
    </w:p>
    <w:p>
      <w:pPr>
        <w:jc w:val="center"/>
      </w:pPr>
      <w:r>
        <w:rPr>
          <w:sz w:val="20"/>
        </w:rPr>
        <w:t>Anonymous Author(s)</w:t>
        <w:br/>
        <w:t>Anonymous Institution</w:t>
        <w:br/>
        <w:t>Anonymous City, Country</w:t>
        <w:br/>
        <w:t>anonymous@domain.com</w:t>
      </w:r>
    </w:p>
    <w:p>
      <w:pPr>
        <w:pStyle w:val="Heading2"/>
      </w:pPr>
      <w:r>
        <w:t>Abstract</w:t>
      </w:r>
    </w:p>
    <w:p>
      <w:r>
        <w:t>Natural-language autoencoders (NLAs) map neural activations to text and back, offering readable interfaces to model internals. We port the NLA recipe to the GR00T vision-language-action (VLA) backbone: extract per-token hidden states, train an activation verbalizer (AV) and reconstructor (AR), and inject AR outputs as live backbone steers in LIBERO simulation. Supervision uses a multimodal teacher (frames + instruction), not human descriptions of what h encodes—a confound inherited from the original LLM setting. We release nla-groot and a three-axis evaluation protocol: (1) offline reconstruction and retrieval, (2) vision-grounded caption judging, (3) closed-loop steer A/B (matched vs. mismatched language). On our main checkpoint, reconstruction metrics pass while grounding, anti-template specificity, and semantic steering fail; aggregate scores hide collapse on image_patch tokens, where retrieval margin is near zero. Claim: NL autoencoders on VLA activations are misleading without vision-grounded and behavioral checks stratified by token role—use this protocol before trusting captions or steering policies with language.</w:t>
      </w:r>
    </w:p>
    <w:p>
      <w:r>
        <w:rPr>
          <w:b/>
        </w:rPr>
        <w:t xml:space="preserve">Keywords: </w:t>
      </w:r>
      <w:r>
        <w:t>Vision-language-action models, interpretability, activation steering, robot learning</w:t>
      </w:r>
    </w:p>
    <w:p>
      <w:pPr>
        <w:pStyle w:val="Heading1"/>
      </w:pPr>
      <w:r>
        <w:t>1 Introduction</w:t>
      </w:r>
    </w:p>
    <w:p>
      <w:r>
        <w:t>Vision-language-action policies such as GR00T couple a multimodal backbone to a diffusion action head. The backbone hidden state h ∈ R^2048 at layer 16 is causally upstream of actions, yet there is no standard way to read or write h in natural language. Fraser-Taliente et al. propose natural-language autoencoders: AV(h) produces a caption and AR(y) reconstructs ĥ ≈ h, yielding both an interpretability artifact and a causal handle for activation steering.</w:t>
      </w:r>
    </w:p>
    <w:p>
      <w:r>
        <w:t>We ask whether this recipe transfers to a VLA backbone, where (i) activations are multimodal and task-conditioned, (ii) downstream behavior is the right falsification test, and (iii) training labels are synthetic: a GPT-class teacher sees camera frames and token metadata, not raw h floats. The teacher may describe scene attributes only weakly present in h; supervised fine-tuning (SFT) therefore optimizes P(teacher text | h), not faithful “what h means.”</w:t>
      </w:r>
    </w:p>
    <w:p>
      <w:r>
        <w:rPr>
          <w:b/>
        </w:rPr>
        <w:t xml:space="preserve">Contribution. </w:t>
      </w:r>
      <w:r>
        <w:t>We do not claim a strong AV or working semantic steer. We claim a negative, actionable result: autoencoder metrics can look successful while captions are vision-ungrounded and steering is behaviorally non-semantic. We release open tooling and a pre-registered three-axis scorecard so NLA ports on policies are not validated by reconstruction alone.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3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1. Pipeline. Solid: training (h from GR00T hook; gold captions from teacher). Dashed: inference (ĥ = AR(y) steers the live policy). Auditing uses AV(h); steering bypasses AV.</w:t>
      </w:r>
    </w:p>
    <w:p>
      <w:pPr>
        <w:pStyle w:val="Heading1"/>
      </w:pPr>
      <w:r>
        <w:t>2 Setup (minimal)</w:t>
      </w:r>
    </w:p>
    <w:p>
      <w:r>
        <w:rPr>
          <w:b/>
        </w:rPr>
        <w:t xml:space="preserve">Activations. </w:t>
      </w:r>
      <w:r>
        <w:t>A forward hook on GR00T backbone_features (Qwen3-VL, layer 16, pre-action-head LayerNorm) records h_i per token at three position types: last_text, image_patch, anchor. Corpus: LIBERO Goal/Spatial/Object/10 LeRobot trajectories; α ≈ P75||h||_2 for injection scaling.</w:t>
      </w:r>
    </w:p>
    <w:p>
      <w:r>
        <w:rPr>
          <w:b/>
        </w:rPr>
        <w:t xml:space="preserve">AV and AR. </w:t>
      </w:r>
      <w:r>
        <w:t>Both are LoRA fine-tunes of Qwen3-4B-Instruct. AV injects α·normalize(W_p h) at a reserved slot token and is trained with CE on teacher bullets. AR reads “Summary of the following text:” and predicts ĥ/α; loss is MSE plus InfoNCE hard negatives. Joint SFT (libero_4suite_v3: 15k steps, batch 4).</w:t>
      </w:r>
    </w:p>
    <w:p>
      <w:r>
        <w:rPr>
          <w:b/>
        </w:rPr>
        <w:t xml:space="preserve">Steering. </w:t>
      </w:r>
      <w:r>
        <w:t>At inference, user text y maps to ĥ = AR(y) and blends into backbone tokens (image_patch or image_patch_all) on every get_action call in the official LIBERO policy server.</w:t>
      </w:r>
    </w:p>
    <w:p>
      <w:pPr>
        <w:pStyle w:val="Heading1"/>
      </w:pPr>
      <w:r>
        <w:t>3 Three-axis evaluation protocol</w:t>
      </w:r>
    </w:p>
    <w:p>
      <w:r>
        <w:t>Each checkpoint is scored on independent axes; overall PASS requires required metrics (pre-registered in build_v3_scorecard.py).</w:t>
      </w:r>
    </w:p>
    <w:p>
      <w:r>
        <w:rPr>
          <w:b/>
        </w:rPr>
        <w:t xml:space="preserve">Axis 1: Reconstruction &amp; retrieval. </w:t>
      </w:r>
      <w:r>
        <w:t>Closed-loop cosine cos(h, AR(AV(h))) without teacher forcing; retrieval margin (matched vs. cross-pair). Report both aggregate and per-position_type slices.</w:t>
      </w:r>
    </w:p>
    <w:p>
      <w:r>
        <w:rPr>
          <w:b/>
        </w:rPr>
        <w:t xml:space="preserve">Axis 2: Vision-grounded judge. </w:t>
      </w:r>
      <w:r>
        <w:t>llm_judge_av_captions.py scores captions against cached frames. We report gold (teacher) vs. AV greedy on identical rows.</w:t>
      </w:r>
    </w:p>
    <w:p>
      <w:r>
        <w:rPr>
          <w:b/>
        </w:rPr>
        <w:t xml:space="preserve">Axis 3: Closed-loop steer A/B. </w:t>
      </w:r>
      <w:r>
        <w:t>On put_the_bowl_on_the_plate (LIBERO Goal, GR00T checkpoint, seeds {0,1,2}): baseline, correct steer text, wrong text. Primary metric: Δ_cw = succ_correct − succ_wrong (PASS if ≥ 5pp).</w:t>
      </w:r>
    </w:p>
    <w:p>
      <w:pPr>
        <w:pStyle w:val="Heading1"/>
      </w:pPr>
      <w:r>
        <w:t>4 Results: metrics pass, semantics fail</w:t>
      </w:r>
    </w:p>
    <w:p>
      <w:pPr>
        <w:jc w:val="center"/>
      </w:pPr>
      <w:r>
        <w:rPr>
          <w:b/>
          <w:i/>
        </w:rPr>
        <w:t>Table 1. V3 scorecard (libero_4suite_v3). Required metrics gate overall verdict.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Thr.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340"/>
          </w:tcPr>
          <w:p>
            <w:r>
              <w:t>retrieval_margin</w:t>
            </w:r>
          </w:p>
        </w:tc>
        <w:tc>
          <w:tcPr>
            <w:tcW w:type="dxa" w:w="2340"/>
          </w:tcPr>
          <w:p>
            <w:r>
              <w:t>0.124</w:t>
            </w:r>
          </w:p>
        </w:tc>
        <w:tc>
          <w:tcPr>
            <w:tcW w:type="dxa" w:w="2340"/>
          </w:tcPr>
          <w:p>
            <w:r>
              <w:t>0.05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</w:tr>
      <w:tr>
        <w:tc>
          <w:tcPr>
            <w:tcW w:type="dxa" w:w="2340"/>
          </w:tcPr>
          <w:p>
            <w:r>
              <w:t>judge_grounding_specific</w:t>
            </w:r>
          </w:p>
        </w:tc>
        <w:tc>
          <w:tcPr>
            <w:tcW w:type="dxa" w:w="2340"/>
          </w:tcPr>
          <w:p>
            <w:r>
              <w:t>0.417</w:t>
            </w:r>
          </w:p>
        </w:tc>
        <w:tc>
          <w:tcPr>
            <w:tcW w:type="dxa" w:w="2340"/>
          </w:tcPr>
          <w:p>
            <w:r>
              <w:t>0.55</w:t>
            </w:r>
          </w:p>
        </w:tc>
        <w:tc>
          <w:tcPr>
            <w:tcW w:type="dxa" w:w="2340"/>
          </w:tcPr>
          <w:p>
            <w:r>
              <w:t>WARN</w:t>
            </w:r>
          </w:p>
        </w:tc>
      </w:tr>
      <w:tr>
        <w:tc>
          <w:tcPr>
            <w:tcW w:type="dxa" w:w="2340"/>
          </w:tcPr>
          <w:p>
            <w:r>
              <w:t>judge_anti_template</w:t>
            </w:r>
          </w:p>
        </w:tc>
        <w:tc>
          <w:tcPr>
            <w:tcW w:type="dxa" w:w="2340"/>
          </w:tcPr>
          <w:p>
            <w:r>
              <w:t>0.083</w:t>
            </w:r>
          </w:p>
        </w:tc>
        <w:tc>
          <w:tcPr>
            <w:tcW w:type="dxa" w:w="2340"/>
          </w:tcPr>
          <w:p>
            <w:r>
              <w:t>0.50</w:t>
            </w:r>
          </w:p>
        </w:tc>
        <w:tc>
          <w:tcPr>
            <w:tcW w:type="dxa" w:w="2340"/>
          </w:tcPr>
          <w:p>
            <w:r>
              <w:t>FAIL</w:t>
            </w:r>
          </w:p>
        </w:tc>
      </w:tr>
      <w:tr>
        <w:tc>
          <w:tcPr>
            <w:tcW w:type="dxa" w:w="2340"/>
          </w:tcPr>
          <w:p>
            <w:r>
              <w:t>sim_correct_minus_wrong</w:t>
            </w:r>
          </w:p>
        </w:tc>
        <w:tc>
          <w:tcPr>
            <w:tcW w:type="dxa" w:w="2340"/>
          </w:tcPr>
          <w:p>
            <w:r>
              <w:t>0.000</w:t>
            </w:r>
          </w:p>
        </w:tc>
        <w:tc>
          <w:tcPr>
            <w:tcW w:type="dxa" w:w="2340"/>
          </w:tcPr>
          <w:p>
            <w:r>
              <w:t>0.05</w:t>
            </w:r>
          </w:p>
        </w:tc>
        <w:tc>
          <w:tcPr>
            <w:tcW w:type="dxa" w:w="2340"/>
          </w:tcPr>
          <w:p>
            <w:r>
              <w:t>WARN</w:t>
            </w:r>
          </w:p>
        </w:tc>
      </w:tr>
    </w:tbl>
    <w:p/>
    <w:p>
      <w:pPr>
        <w:jc w:val="center"/>
      </w:pPr>
      <w:r>
        <w:rPr>
          <w:b/>
          <w:i/>
        </w:rPr>
        <w:t>Table 2. Stratified V3 metrics (libero_4suite_v3).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 cos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 B%</w:t>
            </w:r>
          </w:p>
        </w:tc>
      </w:tr>
      <w:tr>
        <w:tc>
          <w:tcPr>
            <w:tcW w:type="dxa" w:w="1872"/>
          </w:tcPr>
          <w:p>
            <w:r>
              <w:t>image_patch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0.338</w:t>
            </w:r>
          </w:p>
        </w:tc>
        <w:tc>
          <w:tcPr>
            <w:tcW w:type="dxa" w:w="1872"/>
          </w:tcPr>
          <w:p>
            <w:r>
              <w:t>0.003</w:t>
            </w:r>
          </w:p>
        </w:tc>
        <w:tc>
          <w:tcPr>
            <w:tcW w:type="dxa" w:w="1872"/>
          </w:tcPr>
          <w:p>
            <w:r>
              <w:t>0</w:t>
            </w:r>
          </w:p>
        </w:tc>
      </w:tr>
      <w:tr>
        <w:tc>
          <w:tcPr>
            <w:tcW w:type="dxa" w:w="1872"/>
          </w:tcPr>
          <w:p>
            <w:r>
              <w:t>last_text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0.437</w:t>
            </w:r>
          </w:p>
        </w:tc>
        <w:tc>
          <w:tcPr>
            <w:tcW w:type="dxa" w:w="1872"/>
          </w:tcPr>
          <w:p>
            <w:r>
              <w:t>0.046</w:t>
            </w:r>
          </w:p>
        </w:tc>
        <w:tc>
          <w:tcPr>
            <w:tcW w:type="dxa" w:w="1872"/>
          </w:tcPr>
          <w:p>
            <w:r>
              <w:t>67</w:t>
            </w:r>
          </w:p>
        </w:tc>
      </w:tr>
      <w:tr>
        <w:tc>
          <w:tcPr>
            <w:tcW w:type="dxa" w:w="1872"/>
          </w:tcPr>
          <w:p>
            <w:r>
              <w:t>anchor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0.367†</w:t>
            </w:r>
          </w:p>
        </w:tc>
        <w:tc>
          <w:tcPr>
            <w:tcW w:type="dxa" w:w="1872"/>
          </w:tcPr>
          <w:p>
            <w:r>
              <w:t>0.139</w:t>
            </w:r>
          </w:p>
        </w:tc>
        <w:tc>
          <w:tcPr>
            <w:tcW w:type="dxa" w:w="1872"/>
          </w:tcPr>
          <w:p>
            <w:r>
              <w:t>75</w:t>
            </w:r>
          </w:p>
        </w:tc>
      </w:tr>
      <w:tr>
        <w:tc>
          <w:tcPr>
            <w:tcW w:type="dxa" w:w="1872"/>
          </w:tcPr>
          <w:p>
            <w:r>
              <w:t>pooled</w:t>
            </w:r>
          </w:p>
        </w:tc>
        <w:tc>
          <w:tcPr>
            <w:tcW w:type="dxa" w:w="1872"/>
          </w:tcPr>
          <w:p>
            <w:r>
              <w:t>178</w:t>
            </w:r>
          </w:p>
        </w:tc>
        <w:tc>
          <w:tcPr>
            <w:tcW w:type="dxa" w:w="1872"/>
          </w:tcPr>
          <w:p>
            <w:r>
              <w:t>0.388</w:t>
            </w:r>
          </w:p>
        </w:tc>
        <w:tc>
          <w:tcPr>
            <w:tcW w:type="dxa" w:w="1872"/>
          </w:tcPr>
          <w:p>
            <w:r>
              <w:t>0.124</w:t>
            </w:r>
          </w:p>
        </w:tc>
        <w:tc>
          <w:tcPr>
            <w:tcW w:type="dxa" w:w="1872"/>
          </w:tcPr>
          <w:p>
            <w:r>
              <w:t>42</w:t>
            </w:r>
          </w:p>
        </w:tc>
      </w:tr>
    </w:tbl>
    <w:p/>
    <w:p>
      <w:pPr>
        <w:jc w:val="center"/>
      </w:pPr>
      <w:r>
        <w:rPr>
          <w:b/>
          <w:i/>
        </w:rPr>
        <w:t>Table 3. Multimodal judge pass rates (24-row held-out sample).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Ground.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Anti-templ.</w:t>
            </w:r>
          </w:p>
        </w:tc>
      </w:tr>
      <w:tr>
        <w:tc>
          <w:tcPr>
            <w:tcW w:type="dxa" w:w="2340"/>
          </w:tcPr>
          <w:p>
            <w:r>
              <w:t>v3 (4-suite)</w:t>
            </w:r>
          </w:p>
        </w:tc>
        <w:tc>
          <w:tcPr>
            <w:tcW w:type="dxa" w:w="2340"/>
          </w:tcPr>
          <w:p>
            <w:r>
              <w:t>gold</w:t>
            </w:r>
          </w:p>
        </w:tc>
        <w:tc>
          <w:tcPr>
            <w:tcW w:type="dxa" w:w="2340"/>
          </w:tcPr>
          <w:p>
            <w:r>
              <w:t>0.750</w:t>
            </w:r>
          </w:p>
        </w:tc>
        <w:tc>
          <w:tcPr>
            <w:tcW w:type="dxa" w:w="2340"/>
          </w:tcPr>
          <w:p>
            <w:r>
              <w:t>0.500</w:t>
            </w:r>
          </w:p>
        </w:tc>
      </w:tr>
      <w:tr>
        <w:tc>
          <w:tcPr>
            <w:tcW w:type="dxa" w:w="2340"/>
          </w:tcPr>
          <w:p>
            <w:r>
              <w:t>v3 (4-suite)</w:t>
            </w:r>
          </w:p>
        </w:tc>
        <w:tc>
          <w:tcPr>
            <w:tcW w:type="dxa" w:w="2340"/>
          </w:tcPr>
          <w:p>
            <w:r>
              <w:t>AV</w:t>
            </w:r>
          </w:p>
        </w:tc>
        <w:tc>
          <w:tcPr>
            <w:tcW w:type="dxa" w:w="2340"/>
          </w:tcPr>
          <w:p>
            <w:r>
              <w:t>0.417</w:t>
            </w:r>
          </w:p>
        </w:tc>
        <w:tc>
          <w:tcPr>
            <w:tcW w:type="dxa" w:w="2340"/>
          </w:tcPr>
          <w:p>
            <w:r>
              <w:t>0.083</w:t>
            </w:r>
          </w:p>
        </w:tc>
      </w:tr>
    </w:tbl>
    <w:p/>
    <w:p>
      <w:r>
        <w:rPr>
          <w:b/>
        </w:rPr>
        <w:t xml:space="preserve">Symmetric steering (Axis 3). </w:t>
      </w:r>
      <w:r>
        <w:t>Baseline solves all seeds (succ = 1.0). Every steer arm fails (succ = 0) for both matching and contradictory prompts—Δ_cw = 0. Bowl displacement ≈ 0.145 m (baseline) vs. ≈ 0.07 m (all steers): intervention dampens motion uniformly rather than redirecting toward the prompted object. Steerability ≠ faithful interpretability.</w:t>
      </w:r>
    </w:p>
    <w:p>
      <w:pPr>
        <w:pStyle w:val="Heading1"/>
      </w:pPr>
      <w:r>
        <w:t>5 Limitations</w:t>
      </w:r>
    </w:p>
    <w:p>
      <w:r>
        <w:rPr>
          <w:b/>
        </w:rPr>
        <w:t xml:space="preserve">Scope and generalization. </w:t>
      </w:r>
      <w:r>
        <w:t>All experiments use a single VLA (GR00T-N1.7-LIBERO), one hook site (layer 16), and LIBERO simulation. We do not establish whether failures persist across layers, action heads, real robots, or other VLAs.</w:t>
      </w:r>
    </w:p>
    <w:p>
      <w:r>
        <w:rPr>
          <w:b/>
        </w:rPr>
        <w:t xml:space="preserve">Teacher supervision confound. </w:t>
      </w:r>
      <w:r>
        <w:t>Gold captions are produced by a multimodal teacher that sees pixels and metadata, not h itself. Our negative result therefore bounds teacher-supervised NLAs under this protocol.</w:t>
      </w:r>
    </w:p>
    <w:p>
      <w:r>
        <w:rPr>
          <w:b/>
        </w:rPr>
        <w:t xml:space="preserve">Evaluation coverage. </w:t>
      </w:r>
      <w:r>
        <w:t>Axis 3 steering is tested on one LIBERO Goal task with three seeds. Judge subsamples are small for per-position_type slices.</w:t>
      </w:r>
    </w:p>
    <w:p>
      <w:pPr>
        <w:pStyle w:val="Heading1"/>
      </w:pPr>
      <w:r>
        <w:t>6 Use this before you trust or steer</w:t>
      </w:r>
    </w:p>
    <w:p>
      <w:r>
        <w:rPr>
          <w:b/>
        </w:rPr>
        <w:t xml:space="preserve">For auditing. </w:t>
      </w:r>
      <w:r>
        <w:t>Do not treat AV(h) as ground truth without Axis 2 on held-out frames. Report gold-vs-AV gaps per position_type; image_patch is the vision-grounding slice.</w:t>
      </w:r>
    </w:p>
    <w:p>
      <w:r>
        <w:rPr>
          <w:b/>
        </w:rPr>
        <w:t xml:space="preserve">For steering. </w:t>
      </w:r>
      <w:r>
        <w:t>Do not deploy AR(y) backbone steers because reconstruction is high. Require Δ_cw &gt; 0 on held-out tasks and dose calibration.</w:t>
      </w:r>
    </w:p>
    <w:p>
      <w:r>
        <w:rPr>
          <w:b/>
        </w:rPr>
        <w:t xml:space="preserve">Reproducibility. </w:t>
      </w:r>
      <w:r>
        <w:t>Anonymous code: https://anonymous.4open.science/ (placeholder—replace before submit). Scorecard: scripts/eval/build_v3_scorecard.py.</w:t>
      </w:r>
    </w:p>
    <w:p>
      <w:r>
        <w:rPr>
          <w:b/>
        </w:rPr>
        <w:t xml:space="preserve">Broader impact. </w:t>
      </w:r>
      <w:r>
        <w:t>NL interfaces to policy internals could help safety auditing or harm if misread as faithful; our protocol is meant to reduce overclaim.</w:t>
      </w:r>
    </w:p>
    <w:p>
      <w:pPr>
        <w:pStyle w:val="Heading2"/>
      </w:pPr>
      <w:r>
        <w:t>References</w:t>
      </w:r>
    </w:p>
    <w:p>
      <w:pPr>
        <w:ind w:left="360" w:hanging="360"/>
      </w:pPr>
      <w:r>
        <w:t>[1] NVIDIA. GR00T-N1: An open foundation model for generalist humanoid robots. arXiv preprint, 2025.</w:t>
      </w:r>
    </w:p>
    <w:p>
      <w:pPr>
        <w:ind w:left="360" w:hanging="360"/>
      </w:pPr>
      <w:r>
        <w:t>[2] Connor Fraser-Taliente et al. Natural language autoencoders produce unsupervised explanations of LLM activations. Transformer Circuits Thread, 2026.</w:t>
      </w:r>
    </w:p>
    <w:p>
      <w:pPr>
        <w:ind w:left="360" w:hanging="360"/>
      </w:pPr>
      <w:r>
        <w:t>[3] Alexander Matt Turner et al. Activation addition: Steering language models without optimization. arXiv:2308.10248, 2023.</w:t>
      </w:r>
    </w:p>
    <w:p>
      <w:pPr>
        <w:ind w:left="360" w:hanging="360"/>
      </w:pPr>
      <w:r>
        <w:t>[4] Andy Zou et al. Representation engineering: A top-down approach to AI transparency. arXiv:2310.01405, 2023.</w:t>
      </w:r>
    </w:p>
    <w:p>
      <w:pPr>
        <w:ind w:left="360" w:hanging="360"/>
      </w:pPr>
      <w:r>
        <w:t>[5] Edward J. Hu et al. LoRA: Low-rank adaptation of large language models. ICLR, 2022.</w:t>
      </w:r>
    </w:p>
    <w:p>
      <w:pPr>
        <w:ind w:left="360" w:hanging="360"/>
      </w:pPr>
      <w:r>
        <w:t>[6] Anthony Brohan et al. RT-2: Vision-language-action models transfer web knowledge to robotic control. CoRL, 2023.</w:t>
      </w:r>
    </w:p>
    <w:p>
      <w:pPr>
        <w:ind w:left="360" w:hanging="360"/>
      </w:pPr>
      <w:r>
        <w:t>[7] Moo Jin Kim et al. OpenVLA: An open-source vision-language-action model. CoRL, 2024.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