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  <w:jc w:val="center"/>
      </w:pPr>
      <w:r>
        <w:rPr>
          <w:b/>
          <w:color w:val="123262"/>
          <w:sz w:val="76"/>
        </w:rPr>
        <w:t>CARWASH</w:t>
      </w:r>
    </w:p>
    <w:p>
      <w:pPr>
        <w:jc w:val="center"/>
      </w:pPr>
      <w:r>
        <w:rPr>
          <w:b/>
          <w:color w:val="F5821F"/>
          <w:sz w:val="30"/>
        </w:rPr>
        <w:t>Plataforma de Gestão para Lavagens de Veículos</w:t>
      </w:r>
    </w:p>
    <w:p>
      <w:pPr>
        <w:spacing w:before="80"/>
        <w:jc w:val="center"/>
      </w:pPr>
      <w:r>
        <w:rPr>
          <w:color w:val="52514E"/>
          <w:sz w:val="26"/>
        </w:rPr>
        <w:t>Manual do Sistema</w:t>
      </w:r>
    </w:p>
    <w:p>
      <w:pPr>
        <w:spacing w:before="6000"/>
        <w:jc w:val="center"/>
      </w:pPr>
      <w:r>
        <w:rPr>
          <w:color w:val="52514E"/>
          <w:sz w:val="20"/>
        </w:rPr>
        <w:t>[endereço do servidor a definir pela empresa]</w:t>
      </w:r>
    </w:p>
    <w:p>
      <w:pPr>
        <w:jc w:val="center"/>
      </w:pPr>
      <w:r>
        <w:rPr>
          <w:i/>
          <w:color w:val="52514E"/>
          <w:sz w:val="19"/>
        </w:rPr>
        <w:t>Versão 1.0  ·  Julho de 2026  ·  Documento confidencial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>
          <w:t>Clique com o botão direito aqui e escolha "Atualizar campo" (ou prima F9) para gerar o índice.</w:t>
        </w:fldChar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spacing w:after="160"/>
      </w:pPr>
      <w:r>
        <w:rPr>
          <w:b w:val="0"/>
          <w:i w:val="0"/>
        </w:rPr>
        <w:t>O CarWash é uma plataforma web para a gestão de lavagens de veículos (carros, motas, carrinhas, camiões e outros). Centraliza, num único sistema, o registo de entrada dos veículos, o controlo de pagamentos e despesas do caixa, a tabela de preços por tipo de veículo e serviço, e a conferência automática entre o que foi registado à entrada e o que foi efetivamente pago.</w:t>
      </w:r>
    </w:p>
    <w:p>
      <w:pPr>
        <w:spacing w:after="160"/>
      </w:pPr>
      <w:r>
        <w:rPr>
          <w:b w:val="0"/>
          <w:i w:val="0"/>
        </w:rPr>
        <w:t>O ponto central do sistema é a separação de funções: quem regista o veículo e quem recebe o pagamento trabalham em módulos independentes, sem um depender do outro. É o próprio sistema que cruza os dois lados todos os dias e assinala qualquer divergência.</w:t>
      </w:r>
    </w:p>
    <w:p>
      <w:pPr>
        <w:spacing w:after="160"/>
      </w:pPr>
      <w:r>
        <w:rPr>
          <w:b w:val="0"/>
          <w:i w:val="0"/>
        </w:rPr>
        <w:t>Este manual destina-se a administradores, equipa de Operador de Registo e equipa de Caixa, e descreve o acesso ao sistema, os perfis de utilizador, os módulos disponíveis e as boas práticas de utilização.</w:t>
      </w:r>
    </w:p>
    <w:p>
      <w:pPr>
        <w:pStyle w:val="Heading2"/>
      </w:pPr>
      <w:r>
        <w:t>1.1. Principais capacidades</w:t>
      </w:r>
    </w:p>
    <w:p>
      <w:pPr>
        <w:pStyle w:val="ListBullet"/>
      </w:pPr>
      <w:r>
        <w:t>Registo de entrada de veículos, com marca, tipo de veículo, matrícula e serviço.</w:t>
      </w:r>
    </w:p>
    <w:p>
      <w:pPr>
        <w:pStyle w:val="ListBullet"/>
      </w:pPr>
      <w:r>
        <w:t>Registo de pagamentos e de despesas do caixa, feito de forma independente do registo de entrada.</w:t>
      </w:r>
    </w:p>
    <w:p>
      <w:pPr>
        <w:pStyle w:val="ListBullet"/>
      </w:pPr>
      <w:r>
        <w:t>Conferência automática diária entre registos e pagamentos, por matrícula, serviço e horário, com deteção de divergências de serviço ou de valor.</w:t>
      </w:r>
    </w:p>
    <w:p>
      <w:pPr>
        <w:pStyle w:val="ListBullet"/>
      </w:pPr>
      <w:r>
        <w:t>Fluxo de investigação de casos divergentes (pendente, resolvido, justificado ou fraude confirmada), com histórico de quem analisou.</w:t>
      </w:r>
    </w:p>
    <w:p>
      <w:pPr>
        <w:pStyle w:val="ListBullet"/>
      </w:pPr>
      <w:r>
        <w:t>Tabela de preços configurável por tipo de veículo e por serviço.</w:t>
      </w:r>
    </w:p>
    <w:p>
      <w:pPr>
        <w:pStyle w:val="ListBullet"/>
      </w:pPr>
      <w:r>
        <w:t>Fecho de caixa diário, semanal e mensal, com fundo de caixa transitado entre períodos.</w:t>
      </w:r>
    </w:p>
    <w:p>
      <w:pPr>
        <w:pStyle w:val="ListBullet"/>
      </w:pPr>
      <w:r>
        <w:t>Tipos de veículo geridos centralmente, com aprovação de novos tipos propostos pela equipa operacional.</w:t>
      </w:r>
    </w:p>
    <w:p>
      <w:pPr>
        <w:pStyle w:val="ListBullet"/>
      </w:pPr>
      <w:r>
        <w:t>Histórico de alterações e "lixo" recuperável — nenhum registo é apagado sem motivo indicado, nem de forma definitiva sem confirmação do administrador.</w:t>
      </w:r>
    </w:p>
    <w:p>
      <w:pPr>
        <w:pStyle w:val="ListBullet"/>
      </w:pPr>
      <w:r>
        <w:t>Interface responsiva, pronta para computador, tablet ou telemóvel.</w:t>
      </w:r>
    </w:p>
    <w:p>
      <w:pPr>
        <w:pStyle w:val="Heading1"/>
      </w:pPr>
      <w:r>
        <w:t>2. Acesso ao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23262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236"/>
            <w:shd w:val="clear" w:color="auto" w:fill="123262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2835"/>
          </w:tcPr>
          <w:p>
            <w:r>
              <w:t>Endereço (URL)</w:t>
            </w:r>
          </w:p>
        </w:tc>
        <w:tc>
          <w:tcPr>
            <w:tcW w:type="dxa" w:w="6236"/>
          </w:tcPr>
          <w:p>
            <w:r>
              <w:t>[endereço do servidor a definir pela empresa]</w:t>
            </w:r>
          </w:p>
        </w:tc>
      </w:tr>
      <w:tr>
        <w:tc>
          <w:tcPr>
            <w:tcW w:type="dxa" w:w="2835"/>
          </w:tcPr>
          <w:p>
            <w:r>
              <w:t>Ligação</w:t>
            </w:r>
          </w:p>
        </w:tc>
        <w:tc>
          <w:tcPr>
            <w:tcW w:type="dxa" w:w="6236"/>
          </w:tcPr>
          <w:p>
            <w:r>
              <w:t>Recomendado HTTPS / TLS em ambiente de produção</w:t>
            </w:r>
          </w:p>
        </w:tc>
      </w:tr>
      <w:tr>
        <w:tc>
          <w:tcPr>
            <w:tcW w:type="dxa" w:w="2835"/>
          </w:tcPr>
          <w:p>
            <w:r>
              <w:t>Dispositivos</w:t>
            </w:r>
          </w:p>
        </w:tc>
        <w:tc>
          <w:tcPr>
            <w:tcW w:type="dxa" w:w="6236"/>
          </w:tcPr>
          <w:p>
            <w:r>
              <w:t>Computador, tablet ou telemóvel com navegador atualizado</w:t>
            </w:r>
          </w:p>
        </w:tc>
      </w:tr>
      <w:tr>
        <w:tc>
          <w:tcPr>
            <w:tcW w:type="dxa" w:w="2835"/>
          </w:tcPr>
          <w:p>
            <w:r>
              <w:t>Navegadores</w:t>
            </w:r>
          </w:p>
        </w:tc>
        <w:tc>
          <w:tcPr>
            <w:tcW w:type="dxa" w:w="6236"/>
          </w:tcPr>
          <w:p>
            <w:r>
              <w:t>Google Chrome, Microsoft Edge, Firefox ou Safari (versões recentes)</w:t>
            </w:r>
          </w:p>
        </w:tc>
      </w:tr>
    </w:tbl>
    <w:p/>
    <w:p>
      <w:pPr>
        <w:pStyle w:val="Heading2"/>
      </w:pPr>
      <w:r>
        <w:t>2.1. Como entrar</w:t>
      </w:r>
    </w:p>
    <w:p>
      <w:pPr>
        <w:pStyle w:val="ListNumber"/>
      </w:pPr>
      <w:r>
        <w:t>Abra o navegador e aceda ao endereço do sistema fornecido pela empresa.</w:t>
      </w:r>
    </w:p>
    <w:p>
      <w:pPr>
        <w:pStyle w:val="ListNumber"/>
      </w:pPr>
      <w:r>
        <w:t>Na página de início de sessão, introduza o seu nome de utilizador e palavra-passe.</w:t>
      </w:r>
    </w:p>
    <w:p>
      <w:pPr>
        <w:pStyle w:val="ListNumber"/>
      </w:pPr>
      <w:r>
        <w:t>Clique em «Entrar». Será encaminhado para o Início, de acordo com o seu perfil (Operador de Registo, Caixa ou Admin).</w:t>
      </w:r>
    </w:p>
    <w:p>
      <w:pPr>
        <w:pStyle w:val="ListNumber"/>
      </w:pPr>
      <w:r>
        <w:t>Pode marcar «Lembrar-me» para manter a sessão iniciada por mais tempo neste dispositivo.</w:t>
      </w:r>
    </w:p>
    <w:p>
      <w:pPr>
        <w:pStyle w:val="ListNumber"/>
      </w:pPr>
      <w:r>
        <w:t>Para sair, utilize o menu do utilizador e escolha «Sair».</w:t>
      </w:r>
    </w:p>
    <w:p>
      <w:pPr>
        <w:spacing w:before="80" w:after="200"/>
      </w:pPr>
      <w:r>
        <w:rPr>
          <w:b/>
          <w:color w:val="F5821F"/>
        </w:rPr>
        <w:t xml:space="preserve">Sessão:  </w:t>
      </w:r>
      <w:r>
        <w:rPr>
          <w:i/>
          <w:color w:val="52514E"/>
        </w:rPr>
        <w:t>Não partilhe as suas credenciais. Em dispositivos partilhados, termine sempre a sessão antes de sair.</w:t>
      </w:r>
    </w:p>
    <w:p>
      <w:pPr>
        <w:pStyle w:val="Heading1"/>
      </w:pPr>
      <w:r>
        <w:t>3. Perfis de Acesso</w:t>
      </w:r>
    </w:p>
    <w:p>
      <w:pPr>
        <w:spacing w:after="160"/>
      </w:pPr>
      <w:r>
        <w:rPr>
          <w:b w:val="0"/>
          <w:i w:val="0"/>
        </w:rPr>
        <w:t>Cada utilizador tem um perfil que define o que vê e o que pode fazer no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23262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969"/>
            <w:shd w:val="clear" w:color="auto" w:fill="123262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402"/>
            <w:shd w:val="clear" w:color="auto" w:fill="123262"/>
          </w:tcPr>
          <w:p>
            <w:r>
              <w:rPr>
                <w:b/>
                <w:color w:val="FFFFFF"/>
              </w:rPr>
              <w:t>Acesso típico</w:t>
            </w:r>
          </w:p>
        </w:tc>
      </w:tr>
      <w:tr>
        <w:tc>
          <w:tcPr>
            <w:tcW w:type="dxa" w:w="1701"/>
          </w:tcPr>
          <w:p>
            <w:r>
              <w:t>Admin</w:t>
            </w:r>
          </w:p>
        </w:tc>
        <w:tc>
          <w:tcPr>
            <w:tcW w:type="dxa" w:w="3969"/>
          </w:tcPr>
          <w:p>
            <w:r>
              <w:t>Controlo total do sistema e da configuração.</w:t>
            </w:r>
          </w:p>
        </w:tc>
        <w:tc>
          <w:tcPr>
            <w:tcW w:type="dxa" w:w="3402"/>
          </w:tcPr>
          <w:p>
            <w:r>
              <w:t>Todos os módulos: utilizadores, serviços, tipos de veículo, fechamentos, lixo e conferência.</w:t>
            </w:r>
          </w:p>
        </w:tc>
      </w:tr>
      <w:tr>
        <w:tc>
          <w:tcPr>
            <w:tcW w:type="dxa" w:w="1701"/>
          </w:tcPr>
          <w:p>
            <w:r>
              <w:t>Operador de Registo</w:t>
            </w:r>
          </w:p>
        </w:tc>
        <w:tc>
          <w:tcPr>
            <w:tcW w:type="dxa" w:w="3969"/>
          </w:tcPr>
          <w:p>
            <w:r>
              <w:t>Regista os veículos à entrada e acompanha o seu estado.</w:t>
            </w:r>
          </w:p>
        </w:tc>
        <w:tc>
          <w:tcPr>
            <w:tcW w:type="dxa" w:w="3402"/>
          </w:tcPr>
          <w:p>
            <w:r>
              <w:t>Registos de veículos, Início e Perfil.</w:t>
            </w:r>
          </w:p>
        </w:tc>
      </w:tr>
      <w:tr>
        <w:tc>
          <w:tcPr>
            <w:tcW w:type="dxa" w:w="1701"/>
          </w:tcPr>
          <w:p>
            <w:r>
              <w:t>Caixa</w:t>
            </w:r>
          </w:p>
        </w:tc>
        <w:tc>
          <w:tcPr>
            <w:tcW w:type="dxa" w:w="3969"/>
          </w:tcPr>
          <w:p>
            <w:r>
              <w:t>Regista pagamentos e despesas, e fecha o caixa diariamente.</w:t>
            </w:r>
          </w:p>
        </w:tc>
        <w:tc>
          <w:tcPr>
            <w:tcW w:type="dxa" w:w="3402"/>
          </w:tcPr>
          <w:p>
            <w:r>
              <w:t>Caixa (pagamentos e despesas), Início e Perfil.</w:t>
            </w:r>
          </w:p>
        </w:tc>
      </w:tr>
    </w:tbl>
    <w:p/>
    <w:p>
      <w:pPr>
        <w:spacing w:before="80" w:after="200"/>
      </w:pPr>
      <w:r>
        <w:rPr>
          <w:b/>
          <w:color w:val="F5821F"/>
        </w:rPr>
        <w:t xml:space="preserve">Importante:  </w:t>
      </w:r>
      <w:r>
        <w:rPr>
          <w:i/>
          <w:color w:val="52514E"/>
        </w:rPr>
        <w:t>O Operador de Registo e a Caixa trabalham de forma independente um do outro — nenhum escolhe o registo do outro numa lista. É o Admin, através do módulo de Conferência, quem verifica se os dois lados batem certo.</w:t>
      </w:r>
    </w:p>
    <w:p>
      <w:pPr>
        <w:pStyle w:val="Heading1"/>
      </w:pPr>
      <w:r>
        <w:t>4. Módulos do Sistema</w:t>
      </w:r>
    </w:p>
    <w:p>
      <w:pPr>
        <w:spacing w:after="160"/>
      </w:pPr>
      <w:r>
        <w:rPr>
          <w:b w:val="0"/>
          <w:i w:val="0"/>
        </w:rPr>
        <w:t>Os módulos estão agrupados por área de utilização. A visibilidade de cada um depende do perfil do utilizador.</w:t>
      </w:r>
    </w:p>
    <w:p>
      <w:pPr>
        <w:pStyle w:val="Heading2"/>
      </w:pPr>
      <w:r>
        <w:t>4.1. Operação (uso diário)</w:t>
      </w:r>
    </w:p>
    <w:p>
      <w:pPr>
        <w:pStyle w:val="ListBullet"/>
      </w:pPr>
      <w:r>
        <w:t>Início — painel inicial de cada perfil, com os registos/pagamentos do dia e atalhos para as ações mais usadas.</w:t>
      </w:r>
    </w:p>
    <w:p>
      <w:pPr>
        <w:pStyle w:val="ListBullet"/>
      </w:pPr>
      <w:r>
        <w:t>Registos — registo de entrada de veículos (marca, tipo, matrícula, serviço, foto opcional), edição com motivo obrigatório, marcação de "Concluído" e remoção para o Lixo.</w:t>
      </w:r>
    </w:p>
    <w:p>
      <w:pPr>
        <w:pStyle w:val="ListBullet"/>
      </w:pPr>
      <w:r>
        <w:t>Caixa — registo de pagamentos (marca, tipo, matrícula, serviço, valor cobrado, valor recebido, forma de pagamento) e de custos/despesas, com comprovativo.</w:t>
      </w:r>
    </w:p>
    <w:p>
      <w:pPr>
        <w:pStyle w:val="Heading2"/>
      </w:pPr>
      <w:r>
        <w:t>4.2. Financeiro</w:t>
      </w:r>
    </w:p>
    <w:p>
      <w:pPr>
        <w:pStyle w:val="ListBullet"/>
      </w:pPr>
      <w:r>
        <w:t>Fecho de Caixa Diário — obrigatório antes de continuar a registar no dia seguinte; mostra o resumo do dia (recebido, custos, despesas, saldo).</w:t>
      </w:r>
    </w:p>
    <w:p>
      <w:pPr>
        <w:pStyle w:val="ListBullet"/>
      </w:pPr>
      <w:r>
        <w:t>Fechamentos — fecho semanal e mensal, sequencial, com fundo de caixa transitado entre períodos e histórico completo.</w:t>
      </w:r>
    </w:p>
    <w:p>
      <w:pPr>
        <w:pStyle w:val="ListBullet"/>
      </w:pPr>
      <w:r>
        <w:t>Serviços — catálogo de serviços com preço base e preços específicos por tipo de veículo.</w:t>
      </w:r>
    </w:p>
    <w:p>
      <w:pPr>
        <w:pStyle w:val="Heading2"/>
      </w:pPr>
      <w:r>
        <w:t>4.3. Auditoria</w:t>
      </w:r>
    </w:p>
    <w:p>
      <w:pPr>
        <w:pStyle w:val="ListBullet"/>
      </w:pPr>
      <w:r>
        <w:t>Conferência de Registos — cruzamento automático diário entre registos e pagamentos, com estados (Conferem, Divergência de serviço, Divergência de valor, Sem pagamento, Sem registo de entrada, Não verificável) e fluxo de investigação.</w:t>
      </w:r>
    </w:p>
    <w:p>
      <w:pPr>
        <w:pStyle w:val="ListBullet"/>
      </w:pPr>
      <w:r>
        <w:t>Lixo — registos de veículos apagados (soft delete), com motivo, podendo ser restaurados ou eliminados em definitivo.</w:t>
      </w:r>
    </w:p>
    <w:p>
      <w:pPr>
        <w:pStyle w:val="Heading2"/>
      </w:pPr>
      <w:r>
        <w:t>4.4. Sistema</w:t>
      </w:r>
    </w:p>
    <w:p>
      <w:pPr>
        <w:pStyle w:val="ListBullet"/>
      </w:pPr>
      <w:r>
        <w:t>Utilizadores — criação e gestão de contas, atribuição de perfil e definição de palavra-passe.</w:t>
      </w:r>
    </w:p>
    <w:p>
      <w:pPr>
        <w:pStyle w:val="ListBullet"/>
      </w:pPr>
      <w:r>
        <w:t>Tipos de Veículo — lista usada nos formulários de registo e pagamento, com aprovação de tipos propostos pela equipa operacional.</w:t>
      </w:r>
    </w:p>
    <w:p>
      <w:pPr>
        <w:pStyle w:val="ListBullet"/>
      </w:pPr>
      <w:r>
        <w:t>Perfil — dados pessoais e alteração da própria palavra-passe.</w:t>
      </w:r>
    </w:p>
    <w:p>
      <w:pPr>
        <w:pStyle w:val="Heading1"/>
      </w:pPr>
      <w:r>
        <w:t>5. Credenciais de Acesso</w:t>
      </w:r>
    </w:p>
    <w:p>
      <w:pPr>
        <w:spacing w:after="160"/>
      </w:pPr>
      <w:r>
        <w:rPr>
          <w:b w:val="0"/>
          <w:i w:val="0"/>
        </w:rPr>
        <w:t>As contas seguintes estão criadas no sistema. As palavras-passe não são reproduzidas neste documento por segurança — devem ser definidas por cada utilizador (ou pelo administrador) antes da primeira utilização.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23262"/>
          </w:tcPr>
          <w:p>
            <w:r>
              <w:rPr>
                <w:b/>
                <w:color w:val="FFFFFF"/>
              </w:rPr>
              <w:t>Utilizador</w:t>
            </w:r>
          </w:p>
        </w:tc>
        <w:tc>
          <w:tcPr>
            <w:tcW w:type="dxa" w:w="3118"/>
            <w:shd w:val="clear" w:color="auto" w:fill="123262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1984"/>
            <w:shd w:val="clear" w:color="auto" w:fill="123262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701"/>
            <w:shd w:val="clear" w:color="auto" w:fill="123262"/>
          </w:tcPr>
          <w:p>
            <w:r>
              <w:rPr>
                <w:b/>
                <w:color w:val="FFFFFF"/>
              </w:rPr>
              <w:t>Palavra-passe</w:t>
            </w:r>
          </w:p>
        </w:tc>
      </w:tr>
      <w:tr>
        <w:tc>
          <w:tcPr>
            <w:tcW w:type="dxa" w:w="2268"/>
          </w:tcPr>
          <w:p>
            <w:r>
              <w:t>admin</w:t>
            </w:r>
          </w:p>
        </w:tc>
        <w:tc>
          <w:tcPr>
            <w:tcW w:type="dxa" w:w="3118"/>
          </w:tcPr>
          <w:p>
            <w:r>
              <w:t>Administrador CarWash</w:t>
            </w:r>
          </w:p>
        </w:tc>
        <w:tc>
          <w:tcPr>
            <w:tcW w:type="dxa" w:w="1984"/>
          </w:tcPr>
          <w:p>
            <w:r>
              <w:t>Admin</w:t>
            </w:r>
          </w:p>
        </w:tc>
        <w:tc>
          <w:tcPr>
            <w:tcW w:type="dxa" w:w="1701"/>
          </w:tcPr>
          <w:p>
            <w:r>
              <w:t>[a definir]</w:t>
            </w:r>
          </w:p>
        </w:tc>
      </w:tr>
      <w:tr>
        <w:tc>
          <w:tcPr>
            <w:tcW w:type="dxa" w:w="2268"/>
          </w:tcPr>
          <w:p>
            <w:r>
              <w:t>seguranca1</w:t>
            </w:r>
          </w:p>
        </w:tc>
        <w:tc>
          <w:tcPr>
            <w:tcW w:type="dxa" w:w="3118"/>
          </w:tcPr>
          <w:p>
            <w:r>
              <w:t>Equipa de Registo 1</w:t>
            </w:r>
          </w:p>
        </w:tc>
        <w:tc>
          <w:tcPr>
            <w:tcW w:type="dxa" w:w="1984"/>
          </w:tcPr>
          <w:p>
            <w:r>
              <w:t>Operador de Registo</w:t>
            </w:r>
          </w:p>
        </w:tc>
        <w:tc>
          <w:tcPr>
            <w:tcW w:type="dxa" w:w="1701"/>
          </w:tcPr>
          <w:p>
            <w:r>
              <w:t>[a definir]</w:t>
            </w:r>
          </w:p>
        </w:tc>
      </w:tr>
      <w:tr>
        <w:tc>
          <w:tcPr>
            <w:tcW w:type="dxa" w:w="2268"/>
          </w:tcPr>
          <w:p>
            <w:r>
              <w:t>seguranca2</w:t>
            </w:r>
          </w:p>
        </w:tc>
        <w:tc>
          <w:tcPr>
            <w:tcW w:type="dxa" w:w="3118"/>
          </w:tcPr>
          <w:p>
            <w:r>
              <w:t>Equipa de Registo 2</w:t>
            </w:r>
          </w:p>
        </w:tc>
        <w:tc>
          <w:tcPr>
            <w:tcW w:type="dxa" w:w="1984"/>
          </w:tcPr>
          <w:p>
            <w:r>
              <w:t>Operador de Registo</w:t>
            </w:r>
          </w:p>
        </w:tc>
        <w:tc>
          <w:tcPr>
            <w:tcW w:type="dxa" w:w="1701"/>
          </w:tcPr>
          <w:p>
            <w:r>
              <w:t>[a definir]</w:t>
            </w:r>
          </w:p>
        </w:tc>
      </w:tr>
      <w:tr>
        <w:tc>
          <w:tcPr>
            <w:tcW w:type="dxa" w:w="2268"/>
          </w:tcPr>
          <w:p>
            <w:r>
              <w:t>tesoureira1</w:t>
            </w:r>
          </w:p>
        </w:tc>
        <w:tc>
          <w:tcPr>
            <w:tcW w:type="dxa" w:w="3118"/>
          </w:tcPr>
          <w:p>
            <w:r>
              <w:t>Equipa de Caixa 1</w:t>
            </w:r>
          </w:p>
        </w:tc>
        <w:tc>
          <w:tcPr>
            <w:tcW w:type="dxa" w:w="1984"/>
          </w:tcPr>
          <w:p>
            <w:r>
              <w:t>Caixa</w:t>
            </w:r>
          </w:p>
        </w:tc>
        <w:tc>
          <w:tcPr>
            <w:tcW w:type="dxa" w:w="1701"/>
          </w:tcPr>
          <w:p>
            <w:r>
              <w:t>[a definir]</w:t>
            </w:r>
          </w:p>
        </w:tc>
      </w:tr>
    </w:tbl>
    <w:p/>
    <w:p>
      <w:pPr>
        <w:spacing w:before="80" w:after="200"/>
      </w:pPr>
      <w:r>
        <w:rPr>
          <w:b/>
          <w:color w:val="F5821F"/>
        </w:rPr>
        <w:t xml:space="preserve">Segurança:  </w:t>
      </w:r>
      <w:r>
        <w:rPr>
          <w:i/>
          <w:color w:val="52514E"/>
        </w:rPr>
        <w:t>Use palavras-passe fortes e únicas por pessoa, não reutilize a conta «admin» para uso diário e evite usar o nome do perfil como nome de utilizador de contas reais. A conta «admin» dá acesso total ao sistema.</w:t>
      </w:r>
    </w:p>
    <w:p>
      <w:pPr>
        <w:pStyle w:val="Heading1"/>
      </w:pPr>
      <w:r>
        <w:t>6. Fluxo de Conferência e Investigação</w:t>
      </w:r>
    </w:p>
    <w:p>
      <w:pPr>
        <w:spacing w:after="160"/>
      </w:pPr>
      <w:r>
        <w:rPr>
          <w:b w:val="0"/>
          <w:i w:val="0"/>
        </w:rPr>
        <w:t>A Conferência de Registos é a funcionalidade central do CarWash: todos os dias, o sistema cruza automaticamente os veículos registados pelo Operador de Registo com os pagamentos registados pela Caixa, casando-os por matrícula, serviço e horário mais próximo — evitando confundir várias lavagens do mesmo veículo no mesmo dia.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23262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6520"/>
            <w:shd w:val="clear" w:color="auto" w:fill="123262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551"/>
          </w:tcPr>
          <w:p>
            <w:r>
              <w:t>Conferem</w:t>
            </w:r>
          </w:p>
        </w:tc>
        <w:tc>
          <w:tcPr>
            <w:tcW w:type="dxa" w:w="6520"/>
          </w:tcPr>
          <w:p>
            <w:r>
              <w:t>O registo e o pagamento batem certo (mesmo serviço, valor recebido igual ao preço de tabela).</w:t>
            </w:r>
          </w:p>
        </w:tc>
      </w:tr>
      <w:tr>
        <w:tc>
          <w:tcPr>
            <w:tcW w:type="dxa" w:w="2551"/>
          </w:tcPr>
          <w:p>
            <w:r>
              <w:t>Divergência de serviço</w:t>
            </w:r>
          </w:p>
        </w:tc>
        <w:tc>
          <w:tcPr>
            <w:tcW w:type="dxa" w:w="6520"/>
          </w:tcPr>
          <w:p>
            <w:r>
              <w:t>O serviço indicado pelo Operador de Registo é diferente do indicado pela Caixa.</w:t>
            </w:r>
          </w:p>
        </w:tc>
      </w:tr>
      <w:tr>
        <w:tc>
          <w:tcPr>
            <w:tcW w:type="dxa" w:w="2551"/>
          </w:tcPr>
          <w:p>
            <w:r>
              <w:t>Divergência de valor</w:t>
            </w:r>
          </w:p>
        </w:tc>
        <w:tc>
          <w:tcPr>
            <w:tcW w:type="dxa" w:w="6520"/>
          </w:tcPr>
          <w:p>
            <w:r>
              <w:t>O valor recebido é diferente do preço de tabela para aquele serviço e tipo de veículo.</w:t>
            </w:r>
          </w:p>
        </w:tc>
      </w:tr>
      <w:tr>
        <w:tc>
          <w:tcPr>
            <w:tcW w:type="dxa" w:w="2551"/>
          </w:tcPr>
          <w:p>
            <w:r>
              <w:t>Sem pagamento</w:t>
            </w:r>
          </w:p>
        </w:tc>
        <w:tc>
          <w:tcPr>
            <w:tcW w:type="dxa" w:w="6520"/>
          </w:tcPr>
          <w:p>
            <w:r>
              <w:t>Veículo registado sem pagamento correspondente.</w:t>
            </w:r>
          </w:p>
        </w:tc>
      </w:tr>
      <w:tr>
        <w:tc>
          <w:tcPr>
            <w:tcW w:type="dxa" w:w="2551"/>
          </w:tcPr>
          <w:p>
            <w:r>
              <w:t>Sem registo de entrada</w:t>
            </w:r>
          </w:p>
        </w:tc>
        <w:tc>
          <w:tcPr>
            <w:tcW w:type="dxa" w:w="6520"/>
          </w:tcPr>
          <w:p>
            <w:r>
              <w:t>Pagamento registado sem veículo correspondente.</w:t>
            </w:r>
          </w:p>
        </w:tc>
      </w:tr>
      <w:tr>
        <w:tc>
          <w:tcPr>
            <w:tcW w:type="dxa" w:w="2551"/>
          </w:tcPr>
          <w:p>
            <w:r>
              <w:t>Não verificável</w:t>
            </w:r>
          </w:p>
        </w:tc>
        <w:tc>
          <w:tcPr>
            <w:tcW w:type="dxa" w:w="6520"/>
          </w:tcPr>
          <w:p>
            <w:r>
              <w:t>Um dos lados foi registado como "Sem matrícula" — requer ligação manual pelo Admin.</w:t>
            </w:r>
          </w:p>
        </w:tc>
      </w:tr>
    </w:tbl>
    <w:p/>
    <w:p>
      <w:pPr>
        <w:spacing w:after="160"/>
      </w:pPr>
      <w:r>
        <w:rPr>
          <w:b w:val="0"/>
          <w:i w:val="0"/>
        </w:rPr>
        <w:t>Para cada caso, o Admin marca um estado de investigação — Pendente, Resolvido, Justificado ou Fraude confirmada — com uma observação. Fica sempre registado quem investigou e quando; esta marcação nunca é apagada ou sobrescrita automaticamente por um novo cruzamento.</w:t>
      </w:r>
    </w:p>
    <w:p>
      <w:pPr>
        <w:pStyle w:val="Heading1"/>
      </w:pPr>
      <w:r>
        <w:t>7. Boas Práticas de Segurança</w:t>
      </w:r>
    </w:p>
    <w:p>
      <w:pPr>
        <w:pStyle w:val="ListBullet"/>
      </w:pPr>
      <w:r>
        <w:t>Use uma palavra-passe forte e única; nunca a partilhe.</w:t>
      </w:r>
    </w:p>
    <w:p>
      <w:pPr>
        <w:pStyle w:val="ListBullet"/>
      </w:pPr>
      <w:r>
        <w:t>Defina as palavras-passe de demonstração antes do primeiro acesso em ambiente real.</w:t>
      </w:r>
    </w:p>
    <w:p>
      <w:pPr>
        <w:pStyle w:val="ListBullet"/>
      </w:pPr>
      <w:r>
        <w:t>Termine a sessão («Sair») em dispositivos partilhados.</w:t>
      </w:r>
    </w:p>
    <w:p>
      <w:pPr>
        <w:pStyle w:val="ListBullet"/>
      </w:pPr>
      <w:r>
        <w:t>Reserve a conta «admin» para administração; use contas próprias para o trabalho diário do Operador de Registo e da Caixa.</w:t>
      </w:r>
    </w:p>
    <w:p>
      <w:pPr>
        <w:pStyle w:val="ListBullet"/>
      </w:pPr>
      <w:r>
        <w:t>Indique sempre um motivo real ao editar ou apagar um registo — este motivo fica gravado no histórico e é o que sustenta qualquer investigação.</w:t>
      </w:r>
    </w:p>
    <w:p>
      <w:pPr>
        <w:pStyle w:val="ListBullet"/>
      </w:pPr>
      <w:r>
        <w:t>Reveja regularmente o módulo de Conferência, mesmo quando não há suspeita de nada — divergências pequenas e frequentes são mais fáceis de corrigir cedo.</w:t>
      </w:r>
    </w:p>
    <w:p>
      <w:pPr>
        <w:pStyle w:val="Heading1"/>
      </w:pPr>
      <w:r>
        <w:t>8. Suporte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23262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669"/>
            <w:shd w:val="clear" w:color="auto" w:fill="123262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3402"/>
          </w:tcPr>
          <w:p>
            <w:r>
              <w:t>Sistema</w:t>
            </w:r>
          </w:p>
        </w:tc>
        <w:tc>
          <w:tcPr>
            <w:tcW w:type="dxa" w:w="5669"/>
          </w:tcPr>
          <w:p>
            <w:r>
              <w:t>CarWash — Plataforma de Gestão para Lavagens de Veículos</w:t>
            </w:r>
          </w:p>
        </w:tc>
      </w:tr>
      <w:tr>
        <w:tc>
          <w:tcPr>
            <w:tcW w:type="dxa" w:w="3402"/>
          </w:tcPr>
          <w:p>
            <w:r>
              <w:t>Endereço</w:t>
            </w:r>
          </w:p>
        </w:tc>
        <w:tc>
          <w:tcPr>
            <w:tcW w:type="dxa" w:w="5669"/>
          </w:tcPr>
          <w:p>
            <w:r>
              <w:t>[endereço do servidor a definir pela empresa]</w:t>
            </w:r>
          </w:p>
        </w:tc>
      </w:tr>
      <w:tr>
        <w:tc>
          <w:tcPr>
            <w:tcW w:type="dxa" w:w="3402"/>
          </w:tcPr>
          <w:p>
            <w:r>
              <w:t>Administração do sistema</w:t>
            </w:r>
          </w:p>
        </w:tc>
        <w:tc>
          <w:tcPr>
            <w:tcW w:type="dxa" w:w="5669"/>
          </w:tcPr>
          <w:p>
            <w:r>
              <w:t>Conta «admin» (acesso total)</w:t>
            </w:r>
          </w:p>
        </w:tc>
      </w:tr>
      <w:tr>
        <w:tc>
          <w:tcPr>
            <w:tcW w:type="dxa" w:w="3402"/>
          </w:tcPr>
          <w:p>
            <w:r>
              <w:t>Versão do manual</w:t>
            </w:r>
          </w:p>
        </w:tc>
        <w:tc>
          <w:tcPr>
            <w:tcW w:type="dxa" w:w="5669"/>
          </w:tcPr>
          <w:p>
            <w:r>
              <w:t>1.0 — Julho de 2026</w:t>
            </w:r>
          </w:p>
        </w:tc>
      </w:tr>
    </w:tbl>
    <w:p/>
    <w:p>
      <w:pPr>
        <w:spacing w:after="160"/>
      </w:pPr>
      <w:r>
        <w:rPr>
          <w:b w:val="0"/>
          <w:i w:val="0"/>
        </w:rPr>
        <w:t>Em caso de dificuldade no acesso, contacte o administrador do sistema da sua organização.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2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