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aps/>
          <w:color w:val="0D2B4E"/>
          <w:sz w:val="52"/>
          <w:szCs w:val="52"/>
        </w:rPr>
        <w:t xml:space="preserve">RSE INTELLIGENCE</w:t>
      </w:r>
    </w:p>
    <w:p>
      <w:pPr>
        <w:spacing w:after="600" w:before="0"/>
        <w:jc w:val="center"/>
      </w:pPr>
      <w:r>
        <w:rPr>
          <w:rFonts w:ascii="Arial" w:cs="Arial" w:eastAsia="Arial" w:hAnsi="Arial"/>
          <w:color w:val="00796B"/>
          <w:sz w:val="32"/>
          <w:szCs w:val="32"/>
        </w:rPr>
        <w:t xml:space="preserve">Mobile Application Business Opportunities</w:t>
      </w:r>
    </w:p>
    <w:p>
      <w:pPr>
        <w:spacing w:after="60" w:before="0"/>
        <w:jc w:val="center"/>
      </w:pPr>
      <w:r>
        <w:rPr>
          <w:rFonts w:ascii="Arial" w:cs="Arial" w:eastAsia="Arial" w:hAnsi="Arial"/>
          <w:i/>
          <w:iCs/>
          <w:color w:val="546E7A"/>
          <w:sz w:val="24"/>
          <w:szCs w:val="24"/>
        </w:rPr>
        <w:t xml:space="preserve">Powered by NVIDIA NIM APIs</w:t>
      </w:r>
    </w:p>
    <w:p>
      <w:pPr>
        <w:spacing w:after="60" w:before="0"/>
        <w:jc w:val="center"/>
      </w:pPr>
      <w:r>
        <w:rPr>
          <w:rFonts w:ascii="Arial" w:cs="Arial" w:eastAsia="Arial" w:hAnsi="Arial"/>
          <w:color w:val="444444"/>
          <w:sz w:val="22"/>
          <w:szCs w:val="22"/>
        </w:rPr>
        <w:t xml:space="preserve">Prepared for: Richard Munyemana</w:t>
      </w:r>
    </w:p>
    <w:p>
      <w:pPr>
        <w:spacing w:after="0" w:before="0"/>
        <w:jc w:val="center"/>
      </w:pPr>
      <w:r>
        <w:rPr>
          <w:rFonts w:ascii="Arial" w:cs="Arial" w:eastAsia="Arial" w:hAnsi="Arial"/>
          <w:color w:val="546E7A"/>
          <w:sz w:val="22"/>
          <w:szCs w:val="22"/>
        </w:rPr>
        <w:t xml:space="preserve">June 2026  |  Confidential</w:t>
      </w:r>
    </w:p>
    <w:p>
      <w:r>
        <w:br w:type="page"/>
      </w:r>
    </w:p>
    <w:p>
      <w:pPr>
        <w:pStyle w:val="Heading1"/>
        <w:spacing w:after="160" w:before="320"/>
      </w:pPr>
      <w:r>
        <w:rPr>
          <w:rFonts w:ascii="Arial" w:cs="Arial" w:eastAsia="Arial" w:hAnsi="Arial"/>
          <w:b/>
          <w:bCs/>
          <w:color w:val="0D2B4E"/>
          <w:sz w:val="32"/>
          <w:szCs w:val="32"/>
        </w:rPr>
        <w:t xml:space="preserve">Executive Summary</w:t>
      </w:r>
    </w:p>
    <w:p>
      <w:pPr>
        <w:spacing w:after="60" w:before="60"/>
      </w:pPr>
      <w:r>
        <w:rPr>
          <w:rFonts w:ascii="Arial" w:cs="Arial" w:eastAsia="Arial" w:hAnsi="Arial"/>
          <w:b w:val="false"/>
          <w:bCs w:val="false"/>
          <w:color w:val="222222"/>
          <w:sz w:val="22"/>
          <w:szCs w:val="22"/>
        </w:rPr>
        <w:t xml:space="preserve">You have already built something rare: a fully automated, AI-powered financial intelligence pipeline for the Rwanda Stock Exchange (RSE). It ingests broker PDFs from Gmail, classifies and parses them with pdfplumber, runs rule-based signal detection, applies a reinforcement learning agent to prioritize signals, and delivers a daily advisory via WhatsApp — all without human intervention.</w:t>
      </w:r>
    </w:p>
    <w:p>
      <w:pPr>
        <w:spacing w:after="0" w:before="80"/>
      </w:pPr>
    </w:p>
    <w:p>
      <w:pPr>
        <w:spacing w:after="60" w:before="60"/>
      </w:pPr>
      <w:r>
        <w:rPr>
          <w:rFonts w:ascii="Arial" w:cs="Arial" w:eastAsia="Arial" w:hAnsi="Arial"/>
          <w:b w:val="false"/>
          <w:bCs w:val="false"/>
          <w:color w:val="222222"/>
          <w:sz w:val="22"/>
          <w:szCs w:val="22"/>
        </w:rPr>
        <w:t xml:space="preserve">With NVIDIA NIM now integrated as the primary LLM (nvidia/llama-3.1-nemotron-70b-instruct), the quality of financial reasoning has been significantly upgraded. This document outlines six mobile application businesses you can build directly on top of this infrastructure, each targeting a distinct market, monetisable through subscription or B2B SaaS, and differentiated by the AI models that power them.</w:t>
      </w:r>
    </w:p>
    <w:p>
      <w:pPr>
        <w:spacing w:after="0" w:before="80"/>
      </w:pPr>
    </w:p>
    <w:p>
      <w:pPr>
        <w:spacing w:after="60" w:before="60"/>
      </w:pPr>
      <w:r>
        <w:rPr>
          <w:rFonts w:ascii="Arial" w:cs="Arial" w:eastAsia="Arial" w:hAnsi="Arial"/>
          <w:b w:val="false"/>
          <w:bCs w:val="false"/>
          <w:color w:val="546E7A"/>
          <w:sz w:val="22"/>
          <w:szCs w:val="22"/>
        </w:rPr>
        <w:t xml:space="preserve">Your competitive moat is not the technology — any developer can call an API. Your moat is the domain knowledge baked into your pipeline: the RSE-specific context, the RL signal prioritization, the broker PDF parsing, and the market insight that only comes from months of operating in this niche.</w:t>
      </w:r>
    </w:p>
    <w:p>
      <w:pPr>
        <w:pBdr>
          <w:bottom w:val="single" w:color="CFD8DC" w:sz="4" w:space="1"/>
        </w:pBdr>
        <w:spacing w:after="120" w:before="120"/>
      </w:pPr>
    </w:p>
    <w:p>
      <w:pPr>
        <w:pStyle w:val="Heading1"/>
        <w:spacing w:after="160" w:before="320"/>
      </w:pPr>
      <w:r>
        <w:rPr>
          <w:rFonts w:ascii="Arial" w:cs="Arial" w:eastAsia="Arial" w:hAnsi="Arial"/>
          <w:b/>
          <w:bCs/>
          <w:color w:val="0D2B4E"/>
          <w:sz w:val="32"/>
          <w:szCs w:val="32"/>
        </w:rPr>
        <w:t xml:space="preserve">Business Overview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260"/>
        <w:gridCol w:w="2900"/>
      </w:tblGrid>
      <w:tr>
        <w:tc>
          <w:tcPr>
            <w:tcW w:type="dxa" w:w="21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21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Target Market</w:t>
            </w:r>
          </w:p>
        </w:tc>
        <w:tc>
          <w:tcPr>
            <w:tcW w:type="dxa" w:w="22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Revenue Model</w:t>
            </w:r>
          </w:p>
        </w:tc>
        <w:tc>
          <w:tcPr>
            <w:tcW w:type="dxa" w:w="29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Key NIM Model</w:t>
            </w:r>
          </w:p>
        </w:tc>
      </w:tr>
      <w:tr>
        <w:tc>
          <w:tcPr>
            <w:tcW w:type="dxa" w:w="21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RSE Investor App</w:t>
            </w:r>
          </w:p>
        </w:tc>
        <w:tc>
          <w:tcPr>
            <w:tcW w:type="dxa" w:w="21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Retail RSE investors</w:t>
            </w:r>
          </w:p>
        </w:tc>
        <w:tc>
          <w:tcPr>
            <w:tcW w:type="dxa" w:w="22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Freemium + subscription</w:t>
            </w:r>
          </w:p>
        </w:tc>
        <w:tc>
          <w:tcPr>
            <w:tcW w:type="dxa" w:w="2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llama-3.1-nemotron-70b</w:t>
            </w:r>
          </w:p>
        </w:tc>
      </w:tr>
      <w:tr>
        <w:tc>
          <w:tcPr>
            <w:tcW w:type="dxa" w:w="21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Pan-Africa Exchange Hub</w:t>
            </w:r>
          </w:p>
        </w:tc>
        <w:tc>
          <w:tcPr>
            <w:tcW w:type="dxa" w:w="21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Multi-market traders</w:t>
            </w:r>
          </w:p>
        </w:tc>
        <w:tc>
          <w:tcPr>
            <w:tcW w:type="dxa" w:w="226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B2B SaaS to brokers</w:t>
            </w:r>
          </w:p>
        </w:tc>
        <w:tc>
          <w:tcPr>
            <w:tcW w:type="dxa" w:w="29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deepseek-v4-flash (1M ctx)</w:t>
            </w:r>
          </w:p>
        </w:tc>
      </w:tr>
      <w:tr>
        <w:tc>
          <w:tcPr>
            <w:tcW w:type="dxa" w:w="21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Vault</w:t>
            </w:r>
          </w:p>
        </w:tc>
        <w:tc>
          <w:tcPr>
            <w:tcW w:type="dxa" w:w="21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SMEs, accountants, lawyers</w:t>
            </w:r>
          </w:p>
        </w:tc>
        <w:tc>
          <w:tcPr>
            <w:tcW w:type="dxa" w:w="22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Pay-per-document / sub</w:t>
            </w:r>
          </w:p>
        </w:tc>
        <w:tc>
          <w:tcPr>
            <w:tcW w:type="dxa" w:w="2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nemotron-ocr-v1</w:t>
            </w:r>
          </w:p>
        </w:tc>
      </w:tr>
      <w:tr>
        <w:tc>
          <w:tcPr>
            <w:tcW w:type="dxa" w:w="21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Advisor Copilot</w:t>
            </w:r>
          </w:p>
        </w:tc>
        <w:tc>
          <w:tcPr>
            <w:tcW w:type="dxa" w:w="21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Investment advisors</w:t>
            </w:r>
          </w:p>
        </w:tc>
        <w:tc>
          <w:tcPr>
            <w:tcW w:type="dxa" w:w="226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B2B SaaS per seat</w:t>
            </w:r>
          </w:p>
        </w:tc>
        <w:tc>
          <w:tcPr>
            <w:tcW w:type="dxa" w:w="29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llama-3.1-nemotron-70b</w:t>
            </w:r>
          </w:p>
        </w:tc>
      </w:tr>
      <w:tr>
        <w:tc>
          <w:tcPr>
            <w:tcW w:type="dxa" w:w="21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Dividend Calendar Africa</w:t>
            </w:r>
          </w:p>
        </w:tc>
        <w:tc>
          <w:tcPr>
            <w:tcW w:type="dxa" w:w="21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Dividend-focused investors</w:t>
            </w:r>
          </w:p>
        </w:tc>
        <w:tc>
          <w:tcPr>
            <w:tcW w:type="dxa" w:w="22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Freemium + premium alerts</w:t>
            </w:r>
          </w:p>
        </w:tc>
        <w:tc>
          <w:tcPr>
            <w:tcW w:type="dxa" w:w="2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llama-3.1-nemotron-70b</w:t>
            </w:r>
          </w:p>
        </w:tc>
      </w:tr>
      <w:tr>
        <w:tc>
          <w:tcPr>
            <w:tcW w:type="dxa" w:w="21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Financial Doc Analyzer</w:t>
            </w:r>
          </w:p>
        </w:tc>
        <w:tc>
          <w:tcPr>
            <w:tcW w:type="dxa" w:w="21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Business owners, CFOs</w:t>
            </w:r>
          </w:p>
        </w:tc>
        <w:tc>
          <w:tcPr>
            <w:tcW w:type="dxa" w:w="226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Per-report / subscription</w:t>
            </w:r>
          </w:p>
        </w:tc>
        <w:tc>
          <w:tcPr>
            <w:tcW w:type="dxa" w:w="29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nemotron-ocr-v1 + LLM</w:t>
            </w:r>
          </w:p>
        </w:tc>
      </w:tr>
    </w:tbl>
    <w:p>
      <w:r>
        <w:br w:type="page"/>
      </w:r>
    </w:p>
    <w:p>
      <w:pPr>
        <w:pStyle w:val="Heading1"/>
        <w:spacing w:after="160" w:before="320"/>
      </w:pPr>
      <w:r>
        <w:rPr>
          <w:rFonts w:ascii="Arial" w:cs="Arial" w:eastAsia="Arial" w:hAnsi="Arial"/>
          <w:b/>
          <w:bCs/>
          <w:color w:val="0D2B4E"/>
          <w:sz w:val="32"/>
          <w:szCs w:val="32"/>
        </w:rPr>
        <w:t xml:space="preserve">App 1: RSE Investor — Mobile-First Market Intelligence</w:t>
      </w:r>
    </w:p>
    <w:p>
      <w:pPr>
        <w:spacing w:after="60" w:before="60"/>
      </w:pPr>
      <w:r>
        <w:rPr>
          <w:rFonts w:ascii="Arial" w:cs="Arial" w:eastAsia="Arial" w:hAnsi="Arial"/>
          <w:b w:val="false"/>
          <w:bCs w:val="false"/>
          <w:color w:val="222222"/>
          <w:sz w:val="22"/>
          <w:szCs w:val="22"/>
        </w:rPr>
        <w:t xml:space="preserve">Your current pipeline delivers a daily WhatsApp message to one number. This app turns that into a product serving thousands of retail investors. It is the most direct commercialisation of what you have already built — a mobile front-end on top of your existing backend.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Core Value</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Real-time RSE market data, portfolio tracker, and AI advisory — all in one app.</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Target Market</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Retail investors trading on the Rwanda Stock Exchange. Currently underserved by broker apps.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Revenue Model</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Free tier: daily summary. Premium (RWF 5,000/month): real-time signals, order book alerts, dividend calendar.</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NIM Models</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nvidia/llama-3.1-nemotron-70b-instruct — advisory generation. nemotron-ocr-v1 — parse uploaded broker statements.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Platforms</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React Native (iOS + Android from one codebase). FastAPI backend already in place.</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MVP Timeline</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8 weeks: portfolio tracker + daily advisory push notification + dividend alert.</w:t>
            </w:r>
          </w:p>
        </w:tc>
      </w:tr>
    </w:tbl>
    <w:p>
      <w:pPr>
        <w:spacing w:after="60" w:before="120"/>
      </w:pPr>
    </w:p>
    <w:p>
      <w:pPr>
        <w:spacing w:after="80" w:before="180"/>
      </w:pPr>
      <w:r>
        <w:rPr>
          <w:rFonts w:ascii="Arial" w:cs="Arial" w:eastAsia="Arial" w:hAnsi="Arial"/>
          <w:b/>
          <w:bCs/>
          <w:color w:val="1565C0"/>
          <w:sz w:val="22"/>
          <w:szCs w:val="22"/>
        </w:rPr>
        <w:t xml:space="preserve">Key Features</w:t>
      </w:r>
    </w:p>
    <w:p>
      <w:pPr>
        <w:pStyle w:val="ListParagraph"/>
        <w:numPr>
          <w:ilvl w:val="0"/>
          <w:numId w:val="2"/>
        </w:numPr>
        <w:spacing w:after="40" w:before="40"/>
      </w:pPr>
      <w:r>
        <w:rPr>
          <w:rFonts w:ascii="Arial" w:cs="Arial" w:eastAsia="Arial" w:hAnsi="Arial"/>
          <w:sz w:val="22"/>
          <w:szCs w:val="22"/>
        </w:rPr>
        <w:t xml:space="preserve">Push notifications for signal events (squeeze, dividend capture, price drop)</w:t>
      </w:r>
    </w:p>
    <w:p>
      <w:pPr>
        <w:pStyle w:val="ListParagraph"/>
        <w:numPr>
          <w:ilvl w:val="0"/>
          <w:numId w:val="2"/>
        </w:numPr>
        <w:spacing w:after="40" w:before="40"/>
      </w:pPr>
      <w:r>
        <w:rPr>
          <w:rFonts w:ascii="Arial" w:cs="Arial" w:eastAsia="Arial" w:hAnsi="Arial"/>
          <w:sz w:val="22"/>
          <w:szCs w:val="22"/>
        </w:rPr>
        <w:t xml:space="preserve">Portfolio tracker: input your holdings, see live P&amp;L against RSE prices</w:t>
      </w:r>
    </w:p>
    <w:p>
      <w:pPr>
        <w:pStyle w:val="ListParagraph"/>
        <w:numPr>
          <w:ilvl w:val="0"/>
          <w:numId w:val="2"/>
        </w:numPr>
        <w:spacing w:after="40" w:before="40"/>
      </w:pPr>
      <w:r>
        <w:rPr>
          <w:rFonts w:ascii="Arial" w:cs="Arial" w:eastAsia="Arial" w:hAnsi="Arial"/>
          <w:sz w:val="22"/>
          <w:szCs w:val="22"/>
        </w:rPr>
        <w:t xml:space="preserve">Dividend calendar: upcoming record dates with countdown alerts</w:t>
      </w:r>
    </w:p>
    <w:p>
      <w:pPr>
        <w:pStyle w:val="ListParagraph"/>
        <w:numPr>
          <w:ilvl w:val="0"/>
          <w:numId w:val="2"/>
        </w:numPr>
        <w:spacing w:after="40" w:before="40"/>
      </w:pPr>
      <w:r>
        <w:rPr>
          <w:rFonts w:ascii="Arial" w:cs="Arial" w:eastAsia="Arial" w:hAnsi="Arial"/>
          <w:sz w:val="22"/>
          <w:szCs w:val="22"/>
        </w:rPr>
        <w:t xml:space="preserve">AI advisory: daily note in plain language, generated by Nemotron 70B</w:t>
      </w:r>
    </w:p>
    <w:p>
      <w:pPr>
        <w:pStyle w:val="ListParagraph"/>
        <w:numPr>
          <w:ilvl w:val="0"/>
          <w:numId w:val="2"/>
        </w:numPr>
        <w:spacing w:after="40" w:before="40"/>
      </w:pPr>
      <w:r>
        <w:rPr>
          <w:rFonts w:ascii="Arial" w:cs="Arial" w:eastAsia="Arial" w:hAnsi="Arial"/>
          <w:sz w:val="22"/>
          <w:szCs w:val="22"/>
        </w:rPr>
        <w:t xml:space="preserve">Broker statement upload: snap a photo, Nemotron OCR extracts your holdings automatically</w:t>
      </w:r>
    </w:p>
    <w:p>
      <w:pPr>
        <w:spacing w:after="60" w:before="120"/>
      </w:pPr>
    </w:p>
    <w:p>
      <w:pPr>
        <w:spacing w:after="80" w:before="180"/>
      </w:pPr>
      <w:r>
        <w:rPr>
          <w:rFonts w:ascii="Arial" w:cs="Arial" w:eastAsia="Arial" w:hAnsi="Arial"/>
          <w:b/>
          <w:bCs/>
          <w:color w:val="1565C0"/>
          <w:sz w:val="22"/>
          <w:szCs w:val="22"/>
        </w:rPr>
        <w:t xml:space="preserve">Why You Win</w:t>
      </w:r>
    </w:p>
    <w:p>
      <w:pPr>
        <w:spacing w:after="60" w:before="60"/>
      </w:pPr>
      <w:r>
        <w:rPr>
          <w:rFonts w:ascii="Arial" w:cs="Arial" w:eastAsia="Arial" w:hAnsi="Arial"/>
          <w:b w:val="false"/>
          <w:bCs w:val="false"/>
          <w:color w:val="222222"/>
          <w:sz w:val="22"/>
          <w:szCs w:val="22"/>
        </w:rPr>
        <w:t xml:space="preserve">MO Capital and other RSE brokers have no mobile app. The only RSE data app is the RSE website, which is not mobile-optimised. You already have the data pipeline, the signal logic, and the AI integration — the app is a UI layer on top of infrastructure you own.</w:t>
      </w:r>
    </w:p>
    <w:p>
      <w:r>
        <w:br w:type="page"/>
      </w:r>
    </w:p>
    <w:p>
      <w:pPr>
        <w:pStyle w:val="Heading1"/>
        <w:spacing w:after="160" w:before="320"/>
      </w:pPr>
      <w:r>
        <w:rPr>
          <w:rFonts w:ascii="Arial" w:cs="Arial" w:eastAsia="Arial" w:hAnsi="Arial"/>
          <w:b/>
          <w:bCs/>
          <w:color w:val="0D2B4E"/>
          <w:sz w:val="32"/>
          <w:szCs w:val="32"/>
        </w:rPr>
        <w:t xml:space="preserve">App 2: Pan-Africa Exchange Hub — Multi-Market Intelligence</w:t>
      </w:r>
    </w:p>
    <w:p>
      <w:pPr>
        <w:spacing w:after="60" w:before="60"/>
      </w:pPr>
      <w:r>
        <w:rPr>
          <w:rFonts w:ascii="Arial" w:cs="Arial" w:eastAsia="Arial" w:hAnsi="Arial"/>
          <w:b w:val="false"/>
          <w:bCs w:val="false"/>
          <w:color w:val="222222"/>
          <w:sz w:val="22"/>
          <w:szCs w:val="22"/>
        </w:rPr>
        <w:t xml:space="preserve">The same pipeline that processes RSE PDFs can be generalised to parse reports from the Nairobi Securities Exchange (NSE), Dar es Salaam Stock Exchange (DSE), Uganda Securities Exchange (USE), and Ghana Stock Exchange (GSE). This is a B2B SaaS product sold directly to brokers and wealth managers.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Core Value</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One dashboard covering five East and West African exchanges. AI-generated cross-market insights and alerts.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Target Market</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Retail investors with cross-border positions. Pan-African wealth managers. Financial media.</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Revenue Model</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B2B: white-labelled dashboard sold to brokers at USD 500-2,000/month. B2C: USD 15/month subscription.</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NIM Models</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deepseek-ai/deepseek-v4-flash (1M token context): feed months of cross-market data in one call for trend analysis.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Platforms</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Mobile app (React Native) + web dashboard (React). Single FastAPI backend with exchange-specific parsers.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MVP Timeline</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12 weeks: RSE + NSE live. Add DSE, USE in subsequent sprints.</w:t>
            </w:r>
          </w:p>
        </w:tc>
      </w:tr>
    </w:tbl>
    <w:p>
      <w:pPr>
        <w:spacing w:after="60" w:before="120"/>
      </w:pPr>
    </w:p>
    <w:p>
      <w:pPr>
        <w:spacing w:after="80" w:before="180"/>
      </w:pPr>
      <w:r>
        <w:rPr>
          <w:rFonts w:ascii="Arial" w:cs="Arial" w:eastAsia="Arial" w:hAnsi="Arial"/>
          <w:b/>
          <w:bCs/>
          <w:color w:val="1565C0"/>
          <w:sz w:val="22"/>
          <w:szCs w:val="22"/>
        </w:rPr>
        <w:t xml:space="preserve">Key Features</w:t>
      </w:r>
    </w:p>
    <w:p>
      <w:pPr>
        <w:pStyle w:val="ListParagraph"/>
        <w:numPr>
          <w:ilvl w:val="0"/>
          <w:numId w:val="2"/>
        </w:numPr>
        <w:spacing w:after="40" w:before="40"/>
      </w:pPr>
      <w:r>
        <w:rPr>
          <w:rFonts w:ascii="Arial" w:cs="Arial" w:eastAsia="Arial" w:hAnsi="Arial"/>
          <w:sz w:val="22"/>
          <w:szCs w:val="22"/>
        </w:rPr>
        <w:t xml:space="preserve">Unified watchlist across RSE, NSE, DSE, USE, GSE</w:t>
      </w:r>
    </w:p>
    <w:p>
      <w:pPr>
        <w:pStyle w:val="ListParagraph"/>
        <w:numPr>
          <w:ilvl w:val="0"/>
          <w:numId w:val="2"/>
        </w:numPr>
        <w:spacing w:after="40" w:before="40"/>
      </w:pPr>
      <w:r>
        <w:rPr>
          <w:rFonts w:ascii="Arial" w:cs="Arial" w:eastAsia="Arial" w:hAnsi="Arial"/>
          <w:sz w:val="22"/>
          <w:szCs w:val="22"/>
        </w:rPr>
        <w:t xml:space="preserve">Currency-normalised P&amp;L (all values in USD or local currency)</w:t>
      </w:r>
    </w:p>
    <w:p>
      <w:pPr>
        <w:pStyle w:val="ListParagraph"/>
        <w:numPr>
          <w:ilvl w:val="0"/>
          <w:numId w:val="2"/>
        </w:numPr>
        <w:spacing w:after="40" w:before="40"/>
      </w:pPr>
      <w:r>
        <w:rPr>
          <w:rFonts w:ascii="Arial" w:cs="Arial" w:eastAsia="Arial" w:hAnsi="Arial"/>
          <w:sz w:val="22"/>
          <w:szCs w:val="22"/>
        </w:rPr>
        <w:t xml:space="preserve">Cross-market correlation alerts: KES/RWF rate impact on cross-listed stocks (EQTY, KCB)</w:t>
      </w:r>
    </w:p>
    <w:p>
      <w:pPr>
        <w:pStyle w:val="ListParagraph"/>
        <w:numPr>
          <w:ilvl w:val="0"/>
          <w:numId w:val="2"/>
        </w:numPr>
        <w:spacing w:after="40" w:before="40"/>
      </w:pPr>
      <w:r>
        <w:rPr>
          <w:rFonts w:ascii="Arial" w:cs="Arial" w:eastAsia="Arial" w:hAnsi="Arial"/>
          <w:sz w:val="22"/>
          <w:szCs w:val="22"/>
        </w:rPr>
        <w:t xml:space="preserve">DeepSeek V4 Flash 1M-context window: feed full year of price history per symbol for deep trend analysis</w:t>
      </w:r>
    </w:p>
    <w:p>
      <w:pPr>
        <w:pStyle w:val="ListParagraph"/>
        <w:numPr>
          <w:ilvl w:val="0"/>
          <w:numId w:val="2"/>
        </w:numPr>
        <w:spacing w:after="40" w:before="40"/>
      </w:pPr>
      <w:r>
        <w:rPr>
          <w:rFonts w:ascii="Arial" w:cs="Arial" w:eastAsia="Arial" w:hAnsi="Arial"/>
          <w:sz w:val="22"/>
          <w:szCs w:val="22"/>
        </w:rPr>
        <w:t xml:space="preserve">Broker report ingestion: any broker PDF from any supported exchange</w:t>
      </w:r>
    </w:p>
    <w:p>
      <w:pPr>
        <w:spacing w:after="60" w:before="120"/>
      </w:pPr>
    </w:p>
    <w:p>
      <w:pPr>
        <w:spacing w:after="80" w:before="180"/>
      </w:pPr>
      <w:r>
        <w:rPr>
          <w:rFonts w:ascii="Arial" w:cs="Arial" w:eastAsia="Arial" w:hAnsi="Arial"/>
          <w:b/>
          <w:bCs/>
          <w:color w:val="1565C0"/>
          <w:sz w:val="22"/>
          <w:szCs w:val="22"/>
        </w:rPr>
        <w:t xml:space="preserve">Why You Win</w:t>
      </w:r>
    </w:p>
    <w:p>
      <w:pPr>
        <w:spacing w:after="60" w:before="60"/>
      </w:pPr>
      <w:r>
        <w:rPr>
          <w:rFonts w:ascii="Arial" w:cs="Arial" w:eastAsia="Arial" w:hAnsi="Arial"/>
          <w:b w:val="false"/>
          <w:bCs w:val="false"/>
          <w:color w:val="222222"/>
          <w:sz w:val="22"/>
          <w:szCs w:val="22"/>
        </w:rPr>
        <w:t xml:space="preserve">No single product provides unified intelligence across African frontier markets. Bloomberg and Refinitiv cover African exchanges poorly and are priced for institutional clients. Your niche is the underserved mid-market: serious retail investors and small wealth managers who cannot afford Bloomberg.</w:t>
      </w:r>
    </w:p>
    <w:p>
      <w:r>
        <w:br w:type="page"/>
      </w:r>
    </w:p>
    <w:p>
      <w:pPr>
        <w:pStyle w:val="Heading1"/>
        <w:spacing w:after="160" w:before="320"/>
      </w:pPr>
      <w:r>
        <w:rPr>
          <w:rFonts w:ascii="Arial" w:cs="Arial" w:eastAsia="Arial" w:hAnsi="Arial"/>
          <w:b/>
          <w:bCs/>
          <w:color w:val="0D2B4E"/>
          <w:sz w:val="32"/>
          <w:szCs w:val="32"/>
        </w:rPr>
        <w:t xml:space="preserve">App 3: Document Vault — AI-Powered Financial Document Extraction</w:t>
      </w:r>
    </w:p>
    <w:p>
      <w:pPr>
        <w:spacing w:after="60" w:before="60"/>
      </w:pPr>
      <w:r>
        <w:rPr>
          <w:rFonts w:ascii="Arial" w:cs="Arial" w:eastAsia="Arial" w:hAnsi="Arial"/>
          <w:b w:val="false"/>
          <w:bCs w:val="false"/>
          <w:color w:val="222222"/>
          <w:sz w:val="22"/>
          <w:szCs w:val="22"/>
        </w:rPr>
        <w:t xml:space="preserve">Nemotron OCR v1 is production-ready for extracting structured data from financial documents of any format. This app targets SMEs, accountants, and lawyers who deal with high volumes of financial paperwork and need structured data fast.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Core Value</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Snap a photo or upload a PDF. Get structured data in seconds: tables, figures, dates, parties extracted and organised.</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Target Market</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SME owners, bookkeepers, accountants, legal firms in East Africa. Also useful for tax consultants.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Revenue Model</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Freemium: 10 documents/month free. Pro: RWF 20,000/month for unlimited. Enterprise: custom pricing.</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NIM Models</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nvidia/nemotron-ocr-v1: table extraction, layout analysis, multi-language text. LLM layer for insight generation.</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Platforms</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Mobile-first (camera capture). React Native with native camera integration. FastAPI backend.</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MVP Timeline</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6 weeks: bank statement extraction + invoice parsing + CSV export.</w:t>
            </w:r>
          </w:p>
        </w:tc>
      </w:tr>
    </w:tbl>
    <w:p>
      <w:pPr>
        <w:spacing w:after="60" w:before="120"/>
      </w:pPr>
    </w:p>
    <w:p>
      <w:pPr>
        <w:spacing w:after="80" w:before="180"/>
      </w:pPr>
      <w:r>
        <w:rPr>
          <w:rFonts w:ascii="Arial" w:cs="Arial" w:eastAsia="Arial" w:hAnsi="Arial"/>
          <w:b/>
          <w:bCs/>
          <w:color w:val="1565C0"/>
          <w:sz w:val="22"/>
          <w:szCs w:val="22"/>
        </w:rPr>
        <w:t xml:space="preserve">Supported Document Types at Launch</w:t>
      </w:r>
    </w:p>
    <w:p>
      <w:pPr>
        <w:pStyle w:val="ListParagraph"/>
        <w:numPr>
          <w:ilvl w:val="0"/>
          <w:numId w:val="2"/>
        </w:numPr>
        <w:spacing w:after="40" w:before="40"/>
      </w:pPr>
      <w:r>
        <w:rPr>
          <w:rFonts w:ascii="Arial" w:cs="Arial" w:eastAsia="Arial" w:hAnsi="Arial"/>
          <w:sz w:val="22"/>
          <w:szCs w:val="22"/>
        </w:rPr>
        <w:t xml:space="preserve">Bank statements (any bank, any format)</w:t>
      </w:r>
    </w:p>
    <w:p>
      <w:pPr>
        <w:pStyle w:val="ListParagraph"/>
        <w:numPr>
          <w:ilvl w:val="0"/>
          <w:numId w:val="2"/>
        </w:numPr>
        <w:spacing w:after="40" w:before="40"/>
      </w:pPr>
      <w:r>
        <w:rPr>
          <w:rFonts w:ascii="Arial" w:cs="Arial" w:eastAsia="Arial" w:hAnsi="Arial"/>
          <w:sz w:val="22"/>
          <w:szCs w:val="22"/>
        </w:rPr>
        <w:t xml:space="preserve">Invoices and receipts</w:t>
      </w:r>
    </w:p>
    <w:p>
      <w:pPr>
        <w:pStyle w:val="ListParagraph"/>
        <w:numPr>
          <w:ilvl w:val="0"/>
          <w:numId w:val="2"/>
        </w:numPr>
        <w:spacing w:after="40" w:before="40"/>
      </w:pPr>
      <w:r>
        <w:rPr>
          <w:rFonts w:ascii="Arial" w:cs="Arial" w:eastAsia="Arial" w:hAnsi="Arial"/>
          <w:sz w:val="22"/>
          <w:szCs w:val="22"/>
        </w:rPr>
        <w:t xml:space="preserve">Broker statements and trade confirmations — you have already built this for RSE</w:t>
      </w:r>
    </w:p>
    <w:p>
      <w:pPr>
        <w:pStyle w:val="ListParagraph"/>
        <w:numPr>
          <w:ilvl w:val="0"/>
          <w:numId w:val="2"/>
        </w:numPr>
        <w:spacing w:after="40" w:before="40"/>
      </w:pPr>
      <w:r>
        <w:rPr>
          <w:rFonts w:ascii="Arial" w:cs="Arial" w:eastAsia="Arial" w:hAnsi="Arial"/>
          <w:sz w:val="22"/>
          <w:szCs w:val="22"/>
        </w:rPr>
        <w:t xml:space="preserve">Tax returns and financial statements</w:t>
      </w:r>
    </w:p>
    <w:p>
      <w:pPr>
        <w:pStyle w:val="ListParagraph"/>
        <w:numPr>
          <w:ilvl w:val="0"/>
          <w:numId w:val="2"/>
        </w:numPr>
        <w:spacing w:after="40" w:before="40"/>
      </w:pPr>
      <w:r>
        <w:rPr>
          <w:rFonts w:ascii="Arial" w:cs="Arial" w:eastAsia="Arial" w:hAnsi="Arial"/>
          <w:sz w:val="22"/>
          <w:szCs w:val="22"/>
        </w:rPr>
        <w:t xml:space="preserve">Annual reports: extract key financial ratios automatically</w:t>
      </w:r>
    </w:p>
    <w:p>
      <w:pPr>
        <w:spacing w:after="60" w:before="120"/>
      </w:pPr>
    </w:p>
    <w:p>
      <w:pPr>
        <w:spacing w:after="80" w:before="180"/>
      </w:pPr>
      <w:r>
        <w:rPr>
          <w:rFonts w:ascii="Arial" w:cs="Arial" w:eastAsia="Arial" w:hAnsi="Arial"/>
          <w:b/>
          <w:bCs/>
          <w:color w:val="1565C0"/>
          <w:sz w:val="22"/>
          <w:szCs w:val="22"/>
        </w:rPr>
        <w:t xml:space="preserve">Why Nemotron OCR Over Standard OCR</w:t>
      </w:r>
    </w:p>
    <w:p>
      <w:pPr>
        <w:spacing w:after="60" w:before="60"/>
      </w:pPr>
      <w:r>
        <w:rPr>
          <w:rFonts w:ascii="Arial" w:cs="Arial" w:eastAsia="Arial" w:hAnsi="Arial"/>
          <w:b w:val="false"/>
          <w:bCs w:val="false"/>
          <w:color w:val="222222"/>
          <w:sz w:val="22"/>
          <w:szCs w:val="22"/>
        </w:rPr>
        <w:t xml:space="preserve">Tools like Tesseract extract text but destroy table structure. Nemotron OCR v1 preserves layout and structure — it knows that column 3 of a table is a currency value, not free text. This is the difference between a raw text dump and usable structured data, which is exactly what accountants and bookkeepers need to avoid manual re-entry.</w:t>
      </w:r>
    </w:p>
    <w:p>
      <w:r>
        <w:br w:type="page"/>
      </w:r>
    </w:p>
    <w:p>
      <w:pPr>
        <w:pStyle w:val="Heading1"/>
        <w:spacing w:after="160" w:before="320"/>
      </w:pPr>
      <w:r>
        <w:rPr>
          <w:rFonts w:ascii="Arial" w:cs="Arial" w:eastAsia="Arial" w:hAnsi="Arial"/>
          <w:b/>
          <w:bCs/>
          <w:color w:val="0D2B4E"/>
          <w:sz w:val="32"/>
          <w:szCs w:val="32"/>
        </w:rPr>
        <w:t xml:space="preserve">App 4: Advisor Copilot — B2B SaaS for Investment Advisors</w:t>
      </w:r>
    </w:p>
    <w:p>
      <w:pPr>
        <w:spacing w:after="60" w:before="60"/>
      </w:pPr>
      <w:r>
        <w:rPr>
          <w:rFonts w:ascii="Arial" w:cs="Arial" w:eastAsia="Arial" w:hAnsi="Arial"/>
          <w:b w:val="false"/>
          <w:bCs w:val="false"/>
          <w:color w:val="222222"/>
          <w:sz w:val="22"/>
          <w:szCs w:val="22"/>
        </w:rPr>
        <w:t xml:space="preserve">Your pipeline currently generates advisory content for yourself. This app white-labels that capability and sells it to licensed investment advisors who manage client portfolios on the RSE and neighbouring exchanges.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Core Value</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Advisors manage 10-100 client portfolios. The Copilot generates personalised daily briefings per client, flags action items, and drafts client communications.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Target Market</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Independent financial advisors, stockbrokers, wealth management firms in Rwanda, Kenya, Uganda.</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Revenue Model</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USD 99/month per advisor seat. Enterprise: USD 499/month for unlimited seats (brokerage-level licence).</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NIM Models</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nvidia/llama-3.1-nemotron-70b-instruct: personalised advisory per client portfolio. nemotron-ocr-v1: parse client account statements.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Platforms</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Web-first dashboard (React). Mobile companion app for push alerts and approvals. FastAPI backend.</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MVP Timeline</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10 weeks: multi-portfolio dashboard + AI briefing generator + client WhatsApp delivery.</w:t>
            </w:r>
          </w:p>
        </w:tc>
      </w:tr>
    </w:tbl>
    <w:p>
      <w:pPr>
        <w:spacing w:after="60" w:before="120"/>
      </w:pPr>
    </w:p>
    <w:p>
      <w:pPr>
        <w:spacing w:after="80" w:before="180"/>
      </w:pPr>
      <w:r>
        <w:rPr>
          <w:rFonts w:ascii="Arial" w:cs="Arial" w:eastAsia="Arial" w:hAnsi="Arial"/>
          <w:b/>
          <w:bCs/>
          <w:color w:val="1565C0"/>
          <w:sz w:val="22"/>
          <w:szCs w:val="22"/>
        </w:rPr>
        <w:t xml:space="preserve">Workflow</w:t>
      </w:r>
    </w:p>
    <w:p>
      <w:pPr>
        <w:pStyle w:val="ListParagraph"/>
        <w:numPr>
          <w:ilvl w:val="0"/>
          <w:numId w:val="2"/>
        </w:numPr>
        <w:spacing w:after="40" w:before="40"/>
      </w:pPr>
      <w:r>
        <w:rPr>
          <w:rFonts w:ascii="Arial" w:cs="Arial" w:eastAsia="Arial" w:hAnsi="Arial"/>
          <w:sz w:val="22"/>
          <w:szCs w:val="22"/>
        </w:rPr>
        <w:t xml:space="preserve">Advisor imports client portfolios (CSV or broker statement upload)</w:t>
      </w:r>
    </w:p>
    <w:p>
      <w:pPr>
        <w:pStyle w:val="ListParagraph"/>
        <w:numPr>
          <w:ilvl w:val="0"/>
          <w:numId w:val="2"/>
        </w:numPr>
        <w:spacing w:after="40" w:before="40"/>
      </w:pPr>
      <w:r>
        <w:rPr>
          <w:rFonts w:ascii="Arial" w:cs="Arial" w:eastAsia="Arial" w:hAnsi="Arial"/>
          <w:sz w:val="22"/>
          <w:szCs w:val="22"/>
        </w:rPr>
        <w:t xml:space="preserve">Each morning, Copilot generates a personalised briefing per client based on their holdings</w:t>
      </w:r>
    </w:p>
    <w:p>
      <w:pPr>
        <w:pStyle w:val="ListParagraph"/>
        <w:numPr>
          <w:ilvl w:val="0"/>
          <w:numId w:val="2"/>
        </w:numPr>
        <w:spacing w:after="40" w:before="40"/>
      </w:pPr>
      <w:r>
        <w:rPr>
          <w:rFonts w:ascii="Arial" w:cs="Arial" w:eastAsia="Arial" w:hAnsi="Arial"/>
          <w:sz w:val="22"/>
          <w:szCs w:val="22"/>
        </w:rPr>
        <w:t xml:space="preserve">Advisor reviews, approves with one tap, and the briefing is delivered to the client via WhatsApp or email</w:t>
      </w:r>
    </w:p>
    <w:p>
      <w:pPr>
        <w:pStyle w:val="ListParagraph"/>
        <w:numPr>
          <w:ilvl w:val="0"/>
          <w:numId w:val="2"/>
        </w:numPr>
        <w:spacing w:after="40" w:before="40"/>
      </w:pPr>
      <w:r>
        <w:rPr>
          <w:rFonts w:ascii="Arial" w:cs="Arial" w:eastAsia="Arial" w:hAnsi="Arial"/>
          <w:sz w:val="22"/>
          <w:szCs w:val="22"/>
        </w:rPr>
        <w:t xml:space="preserve">Signals flagged: dividend actions relevant to that client's specific holdings</w:t>
      </w:r>
    </w:p>
    <w:p>
      <w:pPr>
        <w:pStyle w:val="ListParagraph"/>
        <w:numPr>
          <w:ilvl w:val="0"/>
          <w:numId w:val="2"/>
        </w:numPr>
        <w:spacing w:after="40" w:before="40"/>
      </w:pPr>
      <w:r>
        <w:rPr>
          <w:rFonts w:ascii="Arial" w:cs="Arial" w:eastAsia="Arial" w:hAnsi="Arial"/>
          <w:sz w:val="22"/>
          <w:szCs w:val="22"/>
        </w:rPr>
        <w:t xml:space="preserve">Audit trail: every generated advisory is stored and timestamped for compliance</w:t>
      </w:r>
    </w:p>
    <w:p>
      <w:pPr>
        <w:spacing w:after="60" w:before="120"/>
      </w:pPr>
    </w:p>
    <w:p>
      <w:pPr>
        <w:spacing w:after="80" w:before="180"/>
      </w:pPr>
      <w:r>
        <w:rPr>
          <w:rFonts w:ascii="Arial" w:cs="Arial" w:eastAsia="Arial" w:hAnsi="Arial"/>
          <w:b/>
          <w:bCs/>
          <w:color w:val="1565C0"/>
          <w:sz w:val="22"/>
          <w:szCs w:val="22"/>
        </w:rPr>
        <w:t xml:space="preserve">Why You Win</w:t>
      </w:r>
    </w:p>
    <w:p>
      <w:pPr>
        <w:spacing w:after="60" w:before="60"/>
      </w:pPr>
      <w:r>
        <w:rPr>
          <w:rFonts w:ascii="Arial" w:cs="Arial" w:eastAsia="Arial" w:hAnsi="Arial"/>
          <w:b w:val="false"/>
          <w:bCs w:val="false"/>
          <w:color w:val="222222"/>
          <w:sz w:val="22"/>
          <w:szCs w:val="22"/>
        </w:rPr>
        <w:t xml:space="preserve">You already have all the components: the signal engine, the advisory generator, the RL prioritization, and the WhatsApp delivery. The only additions are a multi-tenant architecture and a portfolio management interface. This is a USD 1,000+ MRR business within 6 months with just 10 advisor clients.</w:t>
      </w:r>
    </w:p>
    <w:p>
      <w:r>
        <w:br w:type="page"/>
      </w:r>
    </w:p>
    <w:p>
      <w:pPr>
        <w:pStyle w:val="Heading1"/>
        <w:spacing w:after="160" w:before="320"/>
      </w:pPr>
      <w:r>
        <w:rPr>
          <w:rFonts w:ascii="Arial" w:cs="Arial" w:eastAsia="Arial" w:hAnsi="Arial"/>
          <w:b/>
          <w:bCs/>
          <w:color w:val="0D2B4E"/>
          <w:sz w:val="32"/>
          <w:szCs w:val="32"/>
        </w:rPr>
        <w:t xml:space="preserve">App 5: Dividend Calendar Africa — Focused Dividend Investor Tool</w:t>
      </w:r>
    </w:p>
    <w:p>
      <w:pPr>
        <w:spacing w:after="60" w:before="60"/>
      </w:pPr>
      <w:r>
        <w:rPr>
          <w:rFonts w:ascii="Arial" w:cs="Arial" w:eastAsia="Arial" w:hAnsi="Arial"/>
          <w:b w:val="false"/>
          <w:bCs w:val="false"/>
          <w:color w:val="222222"/>
          <w:sz w:val="22"/>
          <w:szCs w:val="22"/>
        </w:rPr>
        <w:t xml:space="preserve">A simple, highly focused app that tracks upcoming dividend events across African exchanges. Dividend investors are a specific and underserved segment: they need record dates, payment dates, and dividend amounts — presented cleanly with countdowns.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Core Value</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Never miss a dividend record date. See all upcoming dividends across RSE, NSE, DSE in one calendar view with countdown alerts.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Target Market</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Income investors and retirees who hold African equities for dividend yield. Pension fund analysts.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Revenue Model</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Free: 30-day dividend calendar. Premium (USD 5/month): 90-day view, push alerts 7 and 2 days before record date, yield calculator.</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NIM Models</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llama-3.1-nemotron-70b: parse unstructured corporate announcements to extract dividend details. Your existing corporate_actions parser as baseline.</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Platforms</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Mobile-first (iOS + Android). React Native. Lightweight FastAPI backend — most data comes from your existing pipeline.</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MVP Timeline</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4 weeks: RSE dividend calendar + push notifications. Fastest path to revenue.</w:t>
            </w:r>
          </w:p>
        </w:tc>
      </w:tr>
    </w:tbl>
    <w:p>
      <w:pPr>
        <w:spacing w:after="60" w:before="120"/>
      </w:pPr>
    </w:p>
    <w:p>
      <w:pPr>
        <w:spacing w:after="80" w:before="180"/>
      </w:pPr>
      <w:r>
        <w:rPr>
          <w:rFonts w:ascii="Arial" w:cs="Arial" w:eastAsia="Arial" w:hAnsi="Arial"/>
          <w:b/>
          <w:bCs/>
          <w:color w:val="1565C0"/>
          <w:sz w:val="22"/>
          <w:szCs w:val="22"/>
        </w:rPr>
        <w:t xml:space="preserve">Key Features</w:t>
      </w:r>
    </w:p>
    <w:p>
      <w:pPr>
        <w:pStyle w:val="ListParagraph"/>
        <w:numPr>
          <w:ilvl w:val="0"/>
          <w:numId w:val="2"/>
        </w:numPr>
        <w:spacing w:after="40" w:before="40"/>
      </w:pPr>
      <w:r>
        <w:rPr>
          <w:rFonts w:ascii="Arial" w:cs="Arial" w:eastAsia="Arial" w:hAnsi="Arial"/>
          <w:sz w:val="22"/>
          <w:szCs w:val="22"/>
        </w:rPr>
        <w:t xml:space="preserve">Calendar view: monthly grid showing all upcoming record and payment dates</w:t>
      </w:r>
    </w:p>
    <w:p>
      <w:pPr>
        <w:pStyle w:val="ListParagraph"/>
        <w:numPr>
          <w:ilvl w:val="0"/>
          <w:numId w:val="2"/>
        </w:numPr>
        <w:spacing w:after="40" w:before="40"/>
      </w:pPr>
      <w:r>
        <w:rPr>
          <w:rFonts w:ascii="Arial" w:cs="Arial" w:eastAsia="Arial" w:hAnsi="Arial"/>
          <w:sz w:val="22"/>
          <w:szCs w:val="22"/>
        </w:rPr>
        <w:t xml:space="preserve">Countdown alerts: 7-day, 2-day, and day-of push notifications per holding</w:t>
      </w:r>
    </w:p>
    <w:p>
      <w:pPr>
        <w:pStyle w:val="ListParagraph"/>
        <w:numPr>
          <w:ilvl w:val="0"/>
          <w:numId w:val="2"/>
        </w:numPr>
        <w:spacing w:after="40" w:before="40"/>
      </w:pPr>
      <w:r>
        <w:rPr>
          <w:rFonts w:ascii="Arial" w:cs="Arial" w:eastAsia="Arial" w:hAnsi="Arial"/>
          <w:sz w:val="22"/>
          <w:szCs w:val="22"/>
        </w:rPr>
        <w:t xml:space="preserve">Yield calculator: based on current price and announced dividend, shows expected yield</w:t>
      </w:r>
    </w:p>
    <w:p>
      <w:pPr>
        <w:pStyle w:val="ListParagraph"/>
        <w:numPr>
          <w:ilvl w:val="0"/>
          <w:numId w:val="2"/>
        </w:numPr>
        <w:spacing w:after="40" w:before="40"/>
      </w:pPr>
      <w:r>
        <w:rPr>
          <w:rFonts w:ascii="Arial" w:cs="Arial" w:eastAsia="Arial" w:hAnsi="Arial"/>
          <w:sz w:val="22"/>
          <w:szCs w:val="22"/>
        </w:rPr>
        <w:t xml:space="preserve">Holding tracker: enter your shares held, see estimated dividend income</w:t>
      </w:r>
    </w:p>
    <w:p>
      <w:pPr>
        <w:pStyle w:val="ListParagraph"/>
        <w:numPr>
          <w:ilvl w:val="0"/>
          <w:numId w:val="2"/>
        </w:numPr>
        <w:spacing w:after="40" w:before="40"/>
      </w:pPr>
      <w:r>
        <w:rPr>
          <w:rFonts w:ascii="Arial" w:cs="Arial" w:eastAsia="Arial" w:hAnsi="Arial"/>
          <w:sz w:val="22"/>
          <w:szCs w:val="22"/>
        </w:rPr>
        <w:t xml:space="preserve">Announcement parsing: NIM model extracts structured data from any corporate announcement PDF</w:t>
      </w:r>
    </w:p>
    <w:p>
      <w:r>
        <w:br w:type="page"/>
      </w:r>
    </w:p>
    <w:p>
      <w:pPr>
        <w:pStyle w:val="Heading1"/>
        <w:spacing w:after="160" w:before="320"/>
      </w:pPr>
      <w:r>
        <w:rPr>
          <w:rFonts w:ascii="Arial" w:cs="Arial" w:eastAsia="Arial" w:hAnsi="Arial"/>
          <w:b/>
          <w:bCs/>
          <w:color w:val="0D2B4E"/>
          <w:sz w:val="32"/>
          <w:szCs w:val="32"/>
        </w:rPr>
        <w:t xml:space="preserve">App 6: Financial Document Analyzer — Annual Report Intelligence</w:t>
      </w:r>
    </w:p>
    <w:p>
      <w:pPr>
        <w:spacing w:after="60" w:before="60"/>
      </w:pPr>
      <w:r>
        <w:rPr>
          <w:rFonts w:ascii="Arial" w:cs="Arial" w:eastAsia="Arial" w:hAnsi="Arial"/>
          <w:b w:val="false"/>
          <w:bCs w:val="false"/>
          <w:color w:val="222222"/>
          <w:sz w:val="22"/>
          <w:szCs w:val="22"/>
        </w:rPr>
        <w:t xml:space="preserve">Every listed company publishes an annual report. Most investors cannot read them effectively — they are long, dense, and full of accounting jargon. This app uploads a company's annual report and delivers a structured AI analysis in plain language.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Core Value</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Upload any annual report. Get: key financial ratios, revenue trend, profitability analysis, risk summary, and plain-English verdict in under 60 seconds.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Target Market</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Retail investors conducting due diligence. Business students and analysts. Journalists covering African business.</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Revenue Model</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Pay-per-report: USD 2 per analysis. Subscription: USD 15/month for unlimited. B2B: white-labelled for financial media at USD 200/month.</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NIM Models</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nemotron-ocr-v1: extract tables and figures from PDF. deepseek-ai/deepseek-v4-flash (1M context): reason over the full document at once.</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Platforms</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Mobile (upload) + Web (read analysis). React Native + React Web. FastAPI backend.</w:t>
            </w:r>
          </w:p>
        </w:tc>
      </w:tr>
      <w:tr>
        <w:tc>
          <w:tcPr>
            <w:tcW w:type="dxa" w:w="22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b/>
                <w:bCs/>
                <w:color w:val="0D2B4E"/>
                <w:sz w:val="20"/>
                <w:szCs w:val="20"/>
              </w:rPr>
              <w:t xml:space="preserve">MVP Timeline</w:t>
            </w:r>
          </w:p>
        </w:tc>
        <w:tc>
          <w:tcPr>
            <w:tcW w:type="dxa" w:w="7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333333"/>
                <w:sz w:val="20"/>
                <w:szCs w:val="20"/>
              </w:rPr>
              <w:t xml:space="preserve">8 weeks: RSE company annual reports + ratio extraction + plain-language summary.</w:t>
            </w:r>
          </w:p>
        </w:tc>
      </w:tr>
    </w:tbl>
    <w:p>
      <w:pPr>
        <w:spacing w:after="60" w:before="120"/>
      </w:pPr>
    </w:p>
    <w:p>
      <w:pPr>
        <w:spacing w:after="80" w:before="180"/>
      </w:pPr>
      <w:r>
        <w:rPr>
          <w:rFonts w:ascii="Arial" w:cs="Arial" w:eastAsia="Arial" w:hAnsi="Arial"/>
          <w:b/>
          <w:bCs/>
          <w:color w:val="1565C0"/>
          <w:sz w:val="22"/>
          <w:szCs w:val="22"/>
        </w:rPr>
        <w:t xml:space="preserve">Analysis Output (per report)</w:t>
      </w:r>
    </w:p>
    <w:p>
      <w:pPr>
        <w:pStyle w:val="ListParagraph"/>
        <w:numPr>
          <w:ilvl w:val="0"/>
          <w:numId w:val="2"/>
        </w:numPr>
        <w:spacing w:after="40" w:before="40"/>
      </w:pPr>
      <w:r>
        <w:rPr>
          <w:rFonts w:ascii="Arial" w:cs="Arial" w:eastAsia="Arial" w:hAnsi="Arial"/>
          <w:sz w:val="22"/>
          <w:szCs w:val="22"/>
        </w:rPr>
        <w:t xml:space="preserve">Revenue, profit, and margin trends (3-year comparison where available)</w:t>
      </w:r>
    </w:p>
    <w:p>
      <w:pPr>
        <w:pStyle w:val="ListParagraph"/>
        <w:numPr>
          <w:ilvl w:val="0"/>
          <w:numId w:val="2"/>
        </w:numPr>
        <w:spacing w:after="40" w:before="40"/>
      </w:pPr>
      <w:r>
        <w:rPr>
          <w:rFonts w:ascii="Arial" w:cs="Arial" w:eastAsia="Arial" w:hAnsi="Arial"/>
          <w:sz w:val="22"/>
          <w:szCs w:val="22"/>
        </w:rPr>
        <w:t xml:space="preserve">Key ratios: P/E, P/B, dividend yield, debt-to-equity, ROE, ROA</w:t>
      </w:r>
    </w:p>
    <w:p>
      <w:pPr>
        <w:pStyle w:val="ListParagraph"/>
        <w:numPr>
          <w:ilvl w:val="0"/>
          <w:numId w:val="2"/>
        </w:numPr>
        <w:spacing w:after="40" w:before="40"/>
      </w:pPr>
      <w:r>
        <w:rPr>
          <w:rFonts w:ascii="Arial" w:cs="Arial" w:eastAsia="Arial" w:hAnsi="Arial"/>
          <w:sz w:val="22"/>
          <w:szCs w:val="22"/>
        </w:rPr>
        <w:t xml:space="preserve">Management commentary summary: what did they say about growth and risks?</w:t>
      </w:r>
    </w:p>
    <w:p>
      <w:pPr>
        <w:pStyle w:val="ListParagraph"/>
        <w:numPr>
          <w:ilvl w:val="0"/>
          <w:numId w:val="2"/>
        </w:numPr>
        <w:spacing w:after="40" w:before="40"/>
      </w:pPr>
      <w:r>
        <w:rPr>
          <w:rFonts w:ascii="Arial" w:cs="Arial" w:eastAsia="Arial" w:hAnsi="Arial"/>
          <w:sz w:val="22"/>
          <w:szCs w:val="22"/>
        </w:rPr>
        <w:t xml:space="preserve">Red flags: unusual items, auditor qualifications, related-party transactions</w:t>
      </w:r>
    </w:p>
    <w:p>
      <w:pPr>
        <w:pStyle w:val="ListParagraph"/>
        <w:numPr>
          <w:ilvl w:val="0"/>
          <w:numId w:val="2"/>
        </w:numPr>
        <w:spacing w:after="40" w:before="40"/>
      </w:pPr>
      <w:r>
        <w:rPr>
          <w:rFonts w:ascii="Arial" w:cs="Arial" w:eastAsia="Arial" w:hAnsi="Arial"/>
          <w:sz w:val="22"/>
          <w:szCs w:val="22"/>
        </w:rPr>
        <w:t xml:space="preserve">Plain-English verdict: buy / hold / avoid with one-paragraph reasoning</w:t>
      </w:r>
    </w:p>
    <w:p>
      <w:pPr>
        <w:pStyle w:val="ListParagraph"/>
        <w:numPr>
          <w:ilvl w:val="0"/>
          <w:numId w:val="2"/>
        </w:numPr>
        <w:spacing w:after="40" w:before="40"/>
      </w:pPr>
      <w:r>
        <w:rPr>
          <w:rFonts w:ascii="Arial" w:cs="Arial" w:eastAsia="Arial" w:hAnsi="Arial"/>
          <w:sz w:val="22"/>
          <w:szCs w:val="22"/>
        </w:rPr>
        <w:t xml:space="preserve">Comparison: how does this company compare to its RSE peers?</w:t>
      </w:r>
    </w:p>
    <w:p>
      <w:pPr>
        <w:spacing w:after="60" w:before="120"/>
      </w:pPr>
    </w:p>
    <w:p>
      <w:pPr>
        <w:spacing w:after="80" w:before="180"/>
      </w:pPr>
      <w:r>
        <w:rPr>
          <w:rFonts w:ascii="Arial" w:cs="Arial" w:eastAsia="Arial" w:hAnsi="Arial"/>
          <w:b/>
          <w:bCs/>
          <w:color w:val="1565C0"/>
          <w:sz w:val="22"/>
          <w:szCs w:val="22"/>
        </w:rPr>
        <w:t xml:space="preserve">Why DeepSeek V4 Flash for This App</w:t>
      </w:r>
    </w:p>
    <w:p>
      <w:pPr>
        <w:spacing w:after="60" w:before="60"/>
      </w:pPr>
      <w:r>
        <w:rPr>
          <w:rFonts w:ascii="Arial" w:cs="Arial" w:eastAsia="Arial" w:hAnsi="Arial"/>
          <w:b w:val="false"/>
          <w:bCs w:val="false"/>
          <w:color w:val="222222"/>
          <w:sz w:val="22"/>
          <w:szCs w:val="22"/>
        </w:rPr>
        <w:t xml:space="preserve">A typical annual report is 80-150 pages. Most LLMs require chunking and lose coherence across chunks. DeepSeek V4 Flash's 1M token context window can process the entire report in a single inference call — the model sees everything at once and can reason across sections: spotting inconsistencies between the CEO letter and the financial statements, for example, that a chunked approach would miss entirely.</w:t>
      </w:r>
    </w:p>
    <w:p>
      <w:r>
        <w:br w:type="page"/>
      </w:r>
    </w:p>
    <w:p>
      <w:pPr>
        <w:pStyle w:val="Heading1"/>
        <w:spacing w:after="160" w:before="320"/>
      </w:pPr>
      <w:r>
        <w:rPr>
          <w:rFonts w:ascii="Arial" w:cs="Arial" w:eastAsia="Arial" w:hAnsi="Arial"/>
          <w:b/>
          <w:bCs/>
          <w:color w:val="0D2B4E"/>
          <w:sz w:val="32"/>
          <w:szCs w:val="32"/>
        </w:rPr>
        <w:t xml:space="preserve">Implementation Roadmap</w:t>
      </w:r>
    </w:p>
    <w:p>
      <w:pPr>
        <w:spacing w:after="60" w:before="60"/>
      </w:pPr>
      <w:r>
        <w:rPr>
          <w:rFonts w:ascii="Arial" w:cs="Arial" w:eastAsia="Arial" w:hAnsi="Arial"/>
          <w:b w:val="false"/>
          <w:bCs w:val="false"/>
          <w:color w:val="222222"/>
          <w:sz w:val="22"/>
          <w:szCs w:val="22"/>
        </w:rPr>
        <w:t xml:space="preserve">The six apps share a common backend foundation. Building them in sequence means each app reuses infrastructure from the previous one.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60"/>
        <w:gridCol w:w="3000"/>
        <w:gridCol w:w="3000"/>
      </w:tblGrid>
      <w:tr>
        <w:tc>
          <w:tcPr>
            <w:tcW w:type="dxa" w:w="9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0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0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Shared Infrastructure</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1-4</w:t>
            </w:r>
          </w:p>
        </w:tc>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Dividend Calendar Africa (App 5)</w:t>
            </w:r>
          </w:p>
        </w:tc>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Signal engine, corporate actions parser, WhatsApp delivery</w:t>
            </w:r>
          </w:p>
        </w:tc>
      </w:tr>
      <w:tr>
        <w:tc>
          <w:tcPr>
            <w:tcW w:type="dxa" w:w="9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6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Weeks 5-12</w:t>
            </w:r>
          </w:p>
        </w:tc>
        <w:tc>
          <w:tcPr>
            <w:tcW w:type="dxa" w:w="30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RSE Investor App (App 1)</w:t>
            </w:r>
          </w:p>
        </w:tc>
        <w:tc>
          <w:tcPr>
            <w:tcW w:type="dxa" w:w="30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App 5 backend + portfolio tracker + NIM advisory</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4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13-22</w:t>
            </w:r>
          </w:p>
        </w:tc>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Vault (App 3)</w:t>
            </w:r>
          </w:p>
        </w:tc>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Nemotron OCR integration, multi-format parser</w:t>
            </w:r>
          </w:p>
        </w:tc>
      </w:tr>
      <w:tr>
        <w:tc>
          <w:tcPr>
            <w:tcW w:type="dxa" w:w="9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6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Weeks 23-32</w:t>
            </w:r>
          </w:p>
        </w:tc>
        <w:tc>
          <w:tcPr>
            <w:tcW w:type="dxa" w:w="30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Advisor Copilot (App 4)</w:t>
            </w:r>
          </w:p>
        </w:tc>
        <w:tc>
          <w:tcPr>
            <w:tcW w:type="dxa" w:w="30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Multi-tenant auth, App 1 + App 3 backend</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4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33-44</w:t>
            </w:r>
          </w:p>
        </w:tc>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Financial Doc Analyzer (App 6)</w:t>
            </w:r>
          </w:p>
        </w:tc>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DeepSeek 1M context, annual report templates</w:t>
            </w:r>
          </w:p>
        </w:tc>
      </w:tr>
      <w:tr>
        <w:tc>
          <w:tcPr>
            <w:tcW w:type="dxa" w:w="9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46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Weeks 45-56</w:t>
            </w:r>
          </w:p>
        </w:tc>
        <w:tc>
          <w:tcPr>
            <w:tcW w:type="dxa" w:w="30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Pan-Africa Exchange Hub (App 2)</w:t>
            </w:r>
          </w:p>
        </w:tc>
        <w:tc>
          <w:tcPr>
            <w:tcW w:type="dxa" w:w="30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Multi-exchange parsers, currency normalisation</w:t>
            </w:r>
          </w:p>
        </w:tc>
      </w:tr>
    </w:tbl>
    <w:p>
      <w:r>
        <w:br w:type="page"/>
      </w:r>
    </w:p>
    <w:p>
      <w:pPr>
        <w:pStyle w:val="Heading1"/>
        <w:spacing w:after="160" w:before="320"/>
      </w:pPr>
      <w:r>
        <w:rPr>
          <w:rFonts w:ascii="Arial" w:cs="Arial" w:eastAsia="Arial" w:hAnsi="Arial"/>
          <w:b/>
          <w:bCs/>
          <w:color w:val="0D2B4E"/>
          <w:sz w:val="32"/>
          <w:szCs w:val="32"/>
        </w:rPr>
        <w:t xml:space="preserve">Revenue Potential</w:t>
      </w:r>
    </w:p>
    <w:p>
      <w:pPr>
        <w:spacing w:after="60" w:before="60"/>
      </w:pPr>
      <w:r>
        <w:rPr>
          <w:rFonts w:ascii="Arial" w:cs="Arial" w:eastAsia="Arial" w:hAnsi="Arial"/>
          <w:b w:val="false"/>
          <w:bCs w:val="false"/>
          <w:color w:val="222222"/>
          <w:sz w:val="22"/>
          <w:szCs w:val="22"/>
        </w:rPr>
        <w:t xml:space="preserve">Conservative projections based on comparable fintech apps in emerging markets with a 12-month runway.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680"/>
        <w:gridCol w:w="1680"/>
        <w:gridCol w:w="1520"/>
      </w:tblGrid>
      <w:tr>
        <w:tc>
          <w:tcPr>
            <w:tcW w:type="dxa" w:w="280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168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Arial" w:cs="Arial" w:eastAsia="Arial" w:hAnsi="Arial"/>
                <w:b/>
                <w:bCs/>
                <w:color w:val="FFFFFF"/>
                <w:sz w:val="20"/>
                <w:szCs w:val="20"/>
              </w:rPr>
              <w:t xml:space="preserve">Price/Month</w:t>
            </w:r>
          </w:p>
        </w:tc>
        <w:tc>
          <w:tcPr>
            <w:tcW w:type="dxa" w:w="168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Arial" w:cs="Arial" w:eastAsia="Arial" w:hAnsi="Arial"/>
                <w:b/>
                <w:bCs/>
                <w:color w:val="FFFFFF"/>
                <w:sz w:val="20"/>
                <w:szCs w:val="20"/>
              </w:rPr>
              <w:t xml:space="preserve">Year 1 Users</w:t>
            </w:r>
          </w:p>
        </w:tc>
        <w:tc>
          <w:tcPr>
            <w:tcW w:type="dxa" w:w="168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Arial" w:cs="Arial" w:eastAsia="Arial" w:hAnsi="Arial"/>
                <w:b/>
                <w:bCs/>
                <w:color w:val="FFFFFF"/>
                <w:sz w:val="20"/>
                <w:szCs w:val="20"/>
              </w:rPr>
              <w:t xml:space="preserve">Conversion</w:t>
            </w:r>
          </w:p>
        </w:tc>
        <w:tc>
          <w:tcPr>
            <w:tcW w:type="dxa" w:w="1520"/>
            <w:tcBorders>
              <w:top w:val="single" w:color="00796B" w:sz="1"/>
              <w:left w:val="single" w:color="00796B" w:sz="1"/>
              <w:bottom w:val="single" w:color="00796B" w:sz="1"/>
              <w:right w:val="single" w:color="00796B" w:sz="1"/>
            </w:tcBorders>
            <w:shd w:fill="00796B" w:val="clear"/>
            <w:tcMar>
              <w:top w:type="dxa" w:w="80"/>
              <w:left w:type="dxa" w:w="120"/>
              <w:bottom w:type="dxa" w:w="80"/>
              <w:right w:type="dxa" w:w="120"/>
            </w:tcMar>
          </w:tcPr>
          <w:p>
            <w:r>
              <w:rPr>
                <w:rFonts w:ascii="Arial" w:cs="Arial" w:eastAsia="Arial" w:hAnsi="Arial"/>
                <w:b/>
                <w:bCs/>
                <w:color w:val="FFFFFF"/>
                <w:sz w:val="20"/>
                <w:szCs w:val="20"/>
              </w:rPr>
              <w:t xml:space="preserve">Annual Revenue</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RSE Investor App</w:t>
            </w:r>
          </w:p>
        </w:tc>
        <w:tc>
          <w:tcPr>
            <w:tcW w:type="dxa" w:w="1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USD 10</w:t>
            </w:r>
          </w:p>
        </w:tc>
        <w:tc>
          <w:tcPr>
            <w:tcW w:type="dxa" w:w="1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1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5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USD 24,000</w:t>
            </w:r>
          </w:p>
        </w:tc>
      </w:tr>
      <w:tr>
        <w:tc>
          <w:tcPr>
            <w:tcW w:type="dxa" w:w="28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Pan-Africa Exchange Hub</w:t>
            </w:r>
          </w:p>
        </w:tc>
        <w:tc>
          <w:tcPr>
            <w:tcW w:type="dxa" w:w="168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USD 50</w:t>
            </w:r>
          </w:p>
        </w:tc>
        <w:tc>
          <w:tcPr>
            <w:tcW w:type="dxa" w:w="168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68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52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USD 24,000</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Vault</w:t>
            </w:r>
          </w:p>
        </w:tc>
        <w:tc>
          <w:tcPr>
            <w:tcW w:type="dxa" w:w="1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USD 15</w:t>
            </w:r>
          </w:p>
        </w:tc>
        <w:tc>
          <w:tcPr>
            <w:tcW w:type="dxa" w:w="1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1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5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USD 27,000</w:t>
            </w:r>
          </w:p>
        </w:tc>
      </w:tr>
      <w:tr>
        <w:tc>
          <w:tcPr>
            <w:tcW w:type="dxa" w:w="28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Advisor Copilot</w:t>
            </w:r>
          </w:p>
        </w:tc>
        <w:tc>
          <w:tcPr>
            <w:tcW w:type="dxa" w:w="168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USD 99</w:t>
            </w:r>
          </w:p>
        </w:tc>
        <w:tc>
          <w:tcPr>
            <w:tcW w:type="dxa" w:w="168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68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152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USD 23,760</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Dividend Calendar Africa</w:t>
            </w:r>
          </w:p>
        </w:tc>
        <w:tc>
          <w:tcPr>
            <w:tcW w:type="dxa" w:w="1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USD 5</w:t>
            </w:r>
          </w:p>
        </w:tc>
        <w:tc>
          <w:tcPr>
            <w:tcW w:type="dxa" w:w="1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w:t>
            </w:r>
          </w:p>
        </w:tc>
        <w:tc>
          <w:tcPr>
            <w:tcW w:type="dxa" w:w="16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52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USD 24,000</w:t>
            </w:r>
          </w:p>
        </w:tc>
      </w:tr>
      <w:tr>
        <w:tc>
          <w:tcPr>
            <w:tcW w:type="dxa" w:w="280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Financial Doc Analyzer</w:t>
            </w:r>
          </w:p>
        </w:tc>
        <w:tc>
          <w:tcPr>
            <w:tcW w:type="dxa" w:w="168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USD 2/doc</w:t>
            </w:r>
          </w:p>
        </w:tc>
        <w:tc>
          <w:tcPr>
            <w:tcW w:type="dxa" w:w="168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3,000</w:t>
            </w:r>
          </w:p>
        </w:tc>
        <w:tc>
          <w:tcPr>
            <w:tcW w:type="dxa" w:w="168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520"/>
            <w:tcBorders>
              <w:top w:val="single" w:color="CFD8DC" w:sz="1"/>
              <w:left w:val="single" w:color="CFD8DC" w:sz="1"/>
              <w:bottom w:val="single" w:color="CFD8DC" w:sz="1"/>
              <w:right w:val="single" w:color="CFD8D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USD 18,000</w:t>
            </w:r>
          </w:p>
        </w:tc>
      </w:tr>
      <w:tr>
        <w:tc>
          <w:tcPr>
            <w:tcW w:type="dxa" w:w="28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TOTAL (Year 1)</w:t>
            </w:r>
          </w:p>
        </w:tc>
        <w:tc>
          <w:tcPr>
            <w:tcW w:type="dxa" w:w="16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6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6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2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USD 140,760</w:t>
            </w:r>
          </w:p>
        </w:tc>
      </w:tr>
    </w:tbl>
    <w:p>
      <w:pPr>
        <w:spacing w:after="60" w:before="120"/>
      </w:pPr>
    </w:p>
    <w:p>
      <w:pPr>
        <w:spacing w:after="60" w:before="60"/>
      </w:pPr>
      <w:r>
        <w:rPr>
          <w:rFonts w:ascii="Arial" w:cs="Arial" w:eastAsia="Arial" w:hAnsi="Arial"/>
          <w:b w:val="false"/>
          <w:bCs w:val="false"/>
          <w:color w:val="546E7A"/>
          <w:sz w:val="22"/>
          <w:szCs w:val="22"/>
        </w:rPr>
        <w:t xml:space="preserve">Note: projections assume apps are launched sequentially per the roadmap above. They are conservative — a single B2B deal with a regional broker for the Advisor Copilot or Pan-Africa Hub could double these figures in year one.</w:t>
      </w:r>
    </w:p>
    <w:p>
      <w:r>
        <w:br w:type="page"/>
      </w:r>
    </w:p>
    <w:p>
      <w:pPr>
        <w:pStyle w:val="Heading1"/>
        <w:spacing w:after="160" w:before="320"/>
      </w:pPr>
      <w:r>
        <w:rPr>
          <w:rFonts w:ascii="Arial" w:cs="Arial" w:eastAsia="Arial" w:hAnsi="Arial"/>
          <w:b/>
          <w:bCs/>
          <w:color w:val="0D2B4E"/>
          <w:sz w:val="32"/>
          <w:szCs w:val="32"/>
        </w:rPr>
        <w:t xml:space="preserve">Immediate Next Steps</w:t>
      </w:r>
    </w:p>
    <w:p>
      <w:pPr>
        <w:pStyle w:val="Heading2"/>
        <w:spacing w:after="120" w:before="240"/>
      </w:pPr>
      <w:r>
        <w:rPr>
          <w:rFonts w:ascii="Arial" w:cs="Arial" w:eastAsia="Arial" w:hAnsi="Arial"/>
          <w:b/>
          <w:bCs/>
          <w:color w:val="00796B"/>
          <w:sz w:val="26"/>
          <w:szCs w:val="26"/>
        </w:rPr>
        <w:t xml:space="preserve">This Week</w:t>
      </w:r>
    </w:p>
    <w:p>
      <w:pPr>
        <w:pStyle w:val="ListParagraph"/>
        <w:numPr>
          <w:ilvl w:val="0"/>
          <w:numId w:val="2"/>
        </w:numPr>
        <w:spacing w:after="40" w:before="40"/>
      </w:pPr>
      <w:r>
        <w:rPr>
          <w:rFonts w:ascii="Arial" w:cs="Arial" w:eastAsia="Arial" w:hAnsi="Arial"/>
          <w:sz w:val="22"/>
          <w:szCs w:val="22"/>
        </w:rPr>
        <w:t xml:space="preserve">Add NVIDIA_NIM_API_KEY to backend/.env (get from build.nvidia.com — free tier available)</w:t>
      </w:r>
    </w:p>
    <w:p>
      <w:pPr>
        <w:pStyle w:val="ListParagraph"/>
        <w:numPr>
          <w:ilvl w:val="0"/>
          <w:numId w:val="2"/>
        </w:numPr>
        <w:spacing w:after="40" w:before="40"/>
      </w:pPr>
      <w:r>
        <w:rPr>
          <w:rFonts w:ascii="Arial" w:cs="Arial" w:eastAsia="Arial" w:hAnsi="Arial"/>
          <w:sz w:val="22"/>
          <w:szCs w:val="22"/>
        </w:rPr>
        <w:t xml:space="preserve">Run pip install openai in your virtual environment</w:t>
      </w:r>
    </w:p>
    <w:p>
      <w:pPr>
        <w:pStyle w:val="ListParagraph"/>
        <w:numPr>
          <w:ilvl w:val="0"/>
          <w:numId w:val="2"/>
        </w:numPr>
        <w:spacing w:after="40" w:before="40"/>
      </w:pPr>
      <w:r>
        <w:rPr>
          <w:rFonts w:ascii="Arial" w:cs="Arial" w:eastAsia="Arial" w:hAnsi="Arial"/>
          <w:sz w:val="22"/>
          <w:szCs w:val="22"/>
        </w:rPr>
        <w:t xml:space="preserve">Test the NIM integration: python run_pipeline.py --file path/to/sample.pdf</w:t>
      </w:r>
    </w:p>
    <w:p>
      <w:pPr>
        <w:pStyle w:val="ListParagraph"/>
        <w:numPr>
          <w:ilvl w:val="0"/>
          <w:numId w:val="2"/>
        </w:numPr>
        <w:spacing w:after="40" w:before="40"/>
      </w:pPr>
      <w:r>
        <w:rPr>
          <w:rFonts w:ascii="Arial" w:cs="Arial" w:eastAsia="Arial" w:hAnsi="Arial"/>
          <w:sz w:val="22"/>
          <w:szCs w:val="22"/>
        </w:rPr>
        <w:t xml:space="preserve">Verify advisory output quality has improved over the previous llama3.2 output</w:t>
      </w:r>
    </w:p>
    <w:p>
      <w:pPr>
        <w:spacing w:after="0" w:before="80"/>
      </w:pPr>
    </w:p>
    <w:p>
      <w:pPr>
        <w:pStyle w:val="Heading2"/>
        <w:spacing w:after="120" w:before="240"/>
      </w:pPr>
      <w:r>
        <w:rPr>
          <w:rFonts w:ascii="Arial" w:cs="Arial" w:eastAsia="Arial" w:hAnsi="Arial"/>
          <w:b/>
          <w:bCs/>
          <w:color w:val="00796B"/>
          <w:sz w:val="26"/>
          <w:szCs w:val="26"/>
        </w:rPr>
        <w:t xml:space="preserve">Week 2-4: Dividend Calendar Africa (App 5 — Fastest to Revenue)</w:t>
      </w:r>
    </w:p>
    <w:p>
      <w:pPr>
        <w:pStyle w:val="ListParagraph"/>
        <w:numPr>
          <w:ilvl w:val="0"/>
          <w:numId w:val="2"/>
        </w:numPr>
        <w:spacing w:after="40" w:before="40"/>
      </w:pPr>
      <w:r>
        <w:rPr>
          <w:rFonts w:ascii="Arial" w:cs="Arial" w:eastAsia="Arial" w:hAnsi="Arial"/>
          <w:sz w:val="22"/>
          <w:szCs w:val="22"/>
        </w:rPr>
        <w:t xml:space="preserve">Expose your existing corporate_actions signal as a REST endpoint: GET /api/dividends/upcoming</w:t>
      </w:r>
    </w:p>
    <w:p>
      <w:pPr>
        <w:pStyle w:val="ListParagraph"/>
        <w:numPr>
          <w:ilvl w:val="0"/>
          <w:numId w:val="2"/>
        </w:numPr>
        <w:spacing w:after="40" w:before="40"/>
      </w:pPr>
      <w:r>
        <w:rPr>
          <w:rFonts w:ascii="Arial" w:cs="Arial" w:eastAsia="Arial" w:hAnsi="Arial"/>
          <w:sz w:val="22"/>
          <w:szCs w:val="22"/>
        </w:rPr>
        <w:t xml:space="preserve">Build a React Native screen consuming that endpoint</w:t>
      </w:r>
    </w:p>
    <w:p>
      <w:pPr>
        <w:pStyle w:val="ListParagraph"/>
        <w:numPr>
          <w:ilvl w:val="0"/>
          <w:numId w:val="2"/>
        </w:numPr>
        <w:spacing w:after="40" w:before="40"/>
      </w:pPr>
      <w:r>
        <w:rPr>
          <w:rFonts w:ascii="Arial" w:cs="Arial" w:eastAsia="Arial" w:hAnsi="Arial"/>
          <w:sz w:val="22"/>
          <w:szCs w:val="22"/>
        </w:rPr>
        <w:t xml:space="preserve">Implement push notification scheduling (Expo Notifications works well for MVP)</w:t>
      </w:r>
    </w:p>
    <w:p>
      <w:pPr>
        <w:pStyle w:val="ListParagraph"/>
        <w:numPr>
          <w:ilvl w:val="0"/>
          <w:numId w:val="2"/>
        </w:numPr>
        <w:spacing w:after="40" w:before="40"/>
      </w:pPr>
      <w:r>
        <w:rPr>
          <w:rFonts w:ascii="Arial" w:cs="Arial" w:eastAsia="Arial" w:hAnsi="Arial"/>
          <w:sz w:val="22"/>
          <w:szCs w:val="22"/>
        </w:rPr>
        <w:t xml:space="preserve">Soft-launch to 20 RSE investors for feedback</w:t>
      </w:r>
    </w:p>
    <w:p>
      <w:pPr>
        <w:spacing w:after="0" w:before="80"/>
      </w:pPr>
    </w:p>
    <w:p>
      <w:pPr>
        <w:pStyle w:val="Heading2"/>
        <w:spacing w:after="120" w:before="240"/>
      </w:pPr>
      <w:r>
        <w:rPr>
          <w:rFonts w:ascii="Arial" w:cs="Arial" w:eastAsia="Arial" w:hAnsi="Arial"/>
          <w:b/>
          <w:bCs/>
          <w:color w:val="00796B"/>
          <w:sz w:val="26"/>
          <w:szCs w:val="26"/>
        </w:rPr>
        <w:t xml:space="preserve">Month 2: RSE Investor App (App 1)</w:t>
      </w:r>
    </w:p>
    <w:p>
      <w:pPr>
        <w:pStyle w:val="ListParagraph"/>
        <w:numPr>
          <w:ilvl w:val="0"/>
          <w:numId w:val="2"/>
        </w:numPr>
        <w:spacing w:after="40" w:before="40"/>
      </w:pPr>
      <w:r>
        <w:rPr>
          <w:rFonts w:ascii="Arial" w:cs="Arial" w:eastAsia="Arial" w:hAnsi="Arial"/>
          <w:sz w:val="22"/>
          <w:szCs w:val="22"/>
        </w:rPr>
        <w:t xml:space="preserve">Add GET /api/portfolio and POST /api/holdings to your FastAPI backend</w:t>
      </w:r>
    </w:p>
    <w:p>
      <w:pPr>
        <w:pStyle w:val="ListParagraph"/>
        <w:numPr>
          <w:ilvl w:val="0"/>
          <w:numId w:val="2"/>
        </w:numPr>
        <w:spacing w:after="40" w:before="40"/>
      </w:pPr>
      <w:r>
        <w:rPr>
          <w:rFonts w:ascii="Arial" w:cs="Arial" w:eastAsia="Arial" w:hAnsi="Arial"/>
          <w:sz w:val="22"/>
          <w:szCs w:val="22"/>
        </w:rPr>
        <w:t xml:space="preserve">Build portfolio tracker UI in React Native</w:t>
      </w:r>
    </w:p>
    <w:p>
      <w:pPr>
        <w:pStyle w:val="ListParagraph"/>
        <w:numPr>
          <w:ilvl w:val="0"/>
          <w:numId w:val="2"/>
        </w:numPr>
        <w:spacing w:after="40" w:before="40"/>
      </w:pPr>
      <w:r>
        <w:rPr>
          <w:rFonts w:ascii="Arial" w:cs="Arial" w:eastAsia="Arial" w:hAnsi="Arial"/>
          <w:sz w:val="22"/>
          <w:szCs w:val="22"/>
        </w:rPr>
        <w:t xml:space="preserve">Wire advisory generation to push notification: daily at 8 AM Kigali time</w:t>
      </w:r>
    </w:p>
    <w:p>
      <w:pPr>
        <w:pStyle w:val="ListParagraph"/>
        <w:numPr>
          <w:ilvl w:val="0"/>
          <w:numId w:val="2"/>
        </w:numPr>
        <w:spacing w:after="40" w:before="40"/>
      </w:pPr>
      <w:r>
        <w:rPr>
          <w:rFonts w:ascii="Arial" w:cs="Arial" w:eastAsia="Arial" w:hAnsi="Arial"/>
          <w:sz w:val="22"/>
          <w:szCs w:val="22"/>
        </w:rPr>
        <w:t xml:space="preserve">Submit to App Store and Play Store</w:t>
      </w:r>
    </w:p>
    <w:p>
      <w:pPr>
        <w:pBdr>
          <w:bottom w:val="single" w:color="CFD8DC" w:sz="4" w:space="1"/>
        </w:pBdr>
        <w:spacing w:after="120" w:before="120"/>
      </w:pPr>
    </w:p>
    <w:p>
      <w:pPr>
        <w:spacing w:after="60" w:before="200"/>
        <w:jc w:val="center"/>
      </w:pPr>
      <w:r>
        <w:rPr>
          <w:rFonts w:ascii="Arial" w:cs="Arial" w:eastAsia="Arial" w:hAnsi="Arial"/>
          <w:b/>
          <w:bCs/>
          <w:color w:val="0D2B4E"/>
          <w:sz w:val="24"/>
          <w:szCs w:val="24"/>
        </w:rPr>
        <w:t xml:space="preserve">The infrastructure is built. The data is flowing. The AI is integrated.</w:t>
      </w:r>
    </w:p>
    <w:p>
      <w:pPr>
        <w:spacing w:after="0" w:before="0"/>
        <w:jc w:val="center"/>
      </w:pPr>
      <w:r>
        <w:rPr>
          <w:rFonts w:ascii="Arial" w:cs="Arial" w:eastAsia="Arial" w:hAnsi="Arial"/>
          <w:i/>
          <w:iCs/>
          <w:color w:val="546E7A"/>
          <w:sz w:val="22"/>
          <w:szCs w:val="22"/>
        </w:rPr>
        <w:t xml:space="preserve">What remains is packaging it into products people pay for.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space="1"/>
      </w:pBdr>
      <w:spacing w:after="0" w:before="120"/>
      <w:jc w:val="center"/>
    </w:pPr>
    <w:r>
      <w:rPr>
        <w:rFonts w:ascii="Arial" w:cs="Arial" w:eastAsia="Arial" w:hAnsi="Arial"/>
        <w:color w:val="546E7A"/>
        <w:sz w:val="18"/>
        <w:szCs w:val="18"/>
      </w:rPr>
      <w:t xml:space="preserve">Confidential  —  </w:t>
    </w:r>
    <w:r>
      <w:rPr>
        <w:rFonts w:ascii="Arial" w:cs="Arial" w:eastAsia="Arial" w:hAnsi="Arial"/>
        <w:color w:val="546E7A"/>
        <w:sz w:val="18"/>
        <w:szCs w:val="18"/>
      </w:rPr>
      <w:t xml:space="preserve">Page </w:t>
    </w:r>
    <w:r>
      <w:rPr>
        <w:rFonts w:ascii="Arial" w:cs="Arial" w:eastAsia="Arial" w:hAnsi="Arial"/>
        <w:color w:val="546E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96B" w:sz="4" w:space="1"/>
      </w:pBdr>
      <w:spacing w:after="120" w:before="0"/>
      <w:jc w:val="right"/>
    </w:pPr>
    <w:r>
      <w:rPr>
        <w:rFonts w:ascii="Arial" w:cs="Arial" w:eastAsia="Arial" w:hAnsi="Arial"/>
        <w:color w:val="546E7A"/>
        <w:sz w:val="18"/>
        <w:szCs w:val="18"/>
      </w:rPr>
      <w:t xml:space="preserve">RSE Intelligence  |  Mobile App Business Opportunities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B4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79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2026-06-16T20:59:15.719Z</dcterms:created>
  <dcterms:modified xsi:type="dcterms:W3CDTF">2026-06-16T20:59:15.719Z</dcterms:modified>
</cp:coreProperties>
</file>

<file path=docProps/custom.xml><?xml version="1.0" encoding="utf-8"?>
<Properties xmlns="http://schemas.openxmlformats.org/officeDocument/2006/custom-properties" xmlns:vt="http://schemas.openxmlformats.org/officeDocument/2006/docPropsVTypes"/>
</file>