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declarations are globally scoped or function/locally scoped. It is globally scoped when a var variable is declared outside a function.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EX: var greeter = “hey hi”;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Function newFunction(){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Var hello = “hello”;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Let declarations are block scoped.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Ex:let greeting = “Say hi”;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Greeting = “say Hello instead”;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Const declarations are also block scoped as let, the main difference between the two is that the value for const CANNOT be changed at all.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Ex: const greeting = “say Hi”;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08090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8090a"/>
          <w:sz w:val="28"/>
          <w:szCs w:val="28"/>
          <w:highlight w:val="white"/>
          <w:rtl w:val="0"/>
        </w:rPr>
        <w:t xml:space="preserve">Greeting = “say Hello instead;//error: Identifier ‘greeting has already been declared.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