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75CA0">
      <w:pPr>
        <w:pStyle w:val="2"/>
        <w:jc w:val="center"/>
      </w:pPr>
      <w:bookmarkStart w:id="0" w:name="Xe209a5914ee87c43c363d78a5c695e068c02979"/>
      <w:r>
        <w:t>For</w:t>
      </w:r>
      <w:bookmarkStart w:id="13" w:name="_GoBack"/>
      <w:bookmarkEnd w:id="13"/>
      <w:r>
        <w:t>m-Fit Learner: Comprehensive Technical Brief (Web App MVP)</w:t>
      </w:r>
    </w:p>
    <w:p w14:paraId="048FD94B">
      <w:pPr>
        <w:pStyle w:val="4"/>
      </w:pPr>
      <w:bookmarkStart w:id="1" w:name="product-overview-value-proposition"/>
      <w:r>
        <w:t>1. Product Overview &amp; Value Proposition</w:t>
      </w:r>
    </w:p>
    <w:p w14:paraId="214BA8B1">
      <w:pPr>
        <w:pStyle w:val="23"/>
      </w:pPr>
      <w:r>
        <w:rPr>
          <w:b/>
          <w:bCs/>
        </w:rPr>
        <w:t>Form-Fit Learner</w:t>
      </w:r>
      <w:r>
        <w:t xml:space="preserve"> is a highly innovative, AI-powered platform designed to identify physical learning barriers and ergonomic challenges in students. It instantly translates digital assessments into physical, </w:t>
      </w:r>
      <w:r>
        <w:rPr>
          <w:b/>
          <w:bCs/>
        </w:rPr>
        <w:t>3D-printable assistive solutions</w:t>
      </w:r>
      <w:r>
        <w:t>.</w:t>
      </w:r>
    </w:p>
    <w:p w14:paraId="1BA546E8">
      <w:pPr>
        <w:pStyle w:val="3"/>
      </w:pPr>
      <w:r>
        <w:t>The web-based MVP provides educators, caregivers, and administrative users with a comprehensive, secure dashboard to manage learner profiles, capture visual data, generate AI-driven accessibility reports, and download ready-to-print assistive tool models (</w:t>
      </w:r>
      <w:r>
        <w:rPr>
          <w:rStyle w:val="48"/>
        </w:rPr>
        <w:t>.stl</w:t>
      </w:r>
      <w:r>
        <w:t xml:space="preserve"> files). By bridging the gap between digital assessment and physical manufacturing intervention, Form-Fit Learner dramatically reduces the time and cost barriers to accessible education.</w:t>
      </w:r>
    </w:p>
    <w:bookmarkEnd w:id="1"/>
    <w:p w14:paraId="67AD050F">
      <w:pPr>
        <w:pStyle w:val="4"/>
      </w:pPr>
      <w:bookmarkStart w:id="2" w:name="architecture-technology-stack"/>
      <w:r>
        <w:t>2. Architecture &amp; Technology Stack</w:t>
      </w:r>
    </w:p>
    <w:p w14:paraId="04A5640E">
      <w:pPr>
        <w:pStyle w:val="23"/>
      </w:pPr>
      <w:r>
        <w:t>The platform is built on a modern, decoupled architecture prioritizing security, rapid scalability, and a premium “glassmorphic” user experience:</w:t>
      </w:r>
    </w:p>
    <w:p w14:paraId="2584690B">
      <w:pPr>
        <w:pStyle w:val="24"/>
        <w:numPr>
          <w:ilvl w:val="0"/>
          <w:numId w:val="1"/>
        </w:numPr>
      </w:pPr>
      <w:r>
        <w:rPr>
          <w:b/>
          <w:bCs/>
        </w:rPr>
        <w:t>Frontend:</w:t>
      </w:r>
      <w:r>
        <w:t xml:space="preserve"> React (powered by Vite) styled with custom Vanilla CSS for advanced dynamic animations, interactive states, and a premium aesthetic without heavy CSS framework bloat.</w:t>
      </w:r>
    </w:p>
    <w:p w14:paraId="0391A369">
      <w:pPr>
        <w:pStyle w:val="24"/>
        <w:numPr>
          <w:ilvl w:val="0"/>
          <w:numId w:val="1"/>
        </w:numPr>
      </w:pPr>
      <w:r>
        <w:rPr>
          <w:b/>
          <w:bCs/>
        </w:rPr>
        <w:t>Authentication:</w:t>
      </w:r>
      <w:r>
        <w:t xml:space="preserve"> Firebase Client Auth handling Email/Password and one-click Google OAuth.</w:t>
      </w:r>
    </w:p>
    <w:p w14:paraId="1265EBB7">
      <w:pPr>
        <w:pStyle w:val="24"/>
        <w:numPr>
          <w:ilvl w:val="0"/>
          <w:numId w:val="1"/>
        </w:numPr>
      </w:pPr>
      <w:r>
        <w:rPr>
          <w:b/>
          <w:bCs/>
        </w:rPr>
        <w:t>Database &amp; Storage:</w:t>
      </w:r>
      <w:r>
        <w:t xml:space="preserve"> Native integrations with Cloud Firestore (for structured data) and Firebase Storage (for media).</w:t>
      </w:r>
    </w:p>
    <w:p w14:paraId="13574F64">
      <w:pPr>
        <w:pStyle w:val="24"/>
        <w:numPr>
          <w:ilvl w:val="0"/>
          <w:numId w:val="1"/>
        </w:numPr>
      </w:pPr>
      <w:r>
        <w:rPr>
          <w:b/>
          <w:bCs/>
        </w:rPr>
        <w:t>Backend Processing:</w:t>
      </w:r>
      <w:r>
        <w:t xml:space="preserve"> Node.js Express server utilizing the strict </w:t>
      </w:r>
      <w:r>
        <w:rPr>
          <w:b/>
          <w:bCs/>
        </w:rPr>
        <w:t>Firebase Admin SDK</w:t>
      </w:r>
      <w:r>
        <w:t>. This enforces server-side security rules, ensuring the client application remains unprivileged and cannot directly manipulate sensitive records.</w:t>
      </w:r>
    </w:p>
    <w:p w14:paraId="042CB734">
      <w:pPr>
        <w:pStyle w:val="24"/>
        <w:numPr>
          <w:ilvl w:val="0"/>
          <w:numId w:val="1"/>
        </w:numPr>
      </w:pPr>
      <w:r>
        <w:rPr>
          <w:b/>
          <w:bCs/>
        </w:rPr>
        <w:t>AI Engine:</w:t>
      </w:r>
      <w:r>
        <w:t xml:space="preserve"> Google Gemini 3, tightly integrated via the backend. The analysis pipeline utilizes Server-Sent Events (SSE) to stream assessment progress directly to the client, delivering a responsive, real-time user interface.</w:t>
      </w:r>
    </w:p>
    <w:bookmarkEnd w:id="2"/>
    <w:p w14:paraId="790561FE">
      <w:pPr>
        <w:pStyle w:val="4"/>
      </w:pPr>
      <w:bookmarkStart w:id="3" w:name="core-features-capabilities-breakdown"/>
      <w:r>
        <w:t>3. Core Features &amp; Capabilities Breakdown</w:t>
      </w:r>
    </w:p>
    <w:p w14:paraId="45F2A9A7">
      <w:pPr>
        <w:pStyle w:val="23"/>
      </w:pPr>
      <w:r>
        <w:t>The feature set is organized across two main interfaces: the pre-authentication Landing Page, and the secure, multi-tabbed web Dashboard.</w:t>
      </w:r>
    </w:p>
    <w:p w14:paraId="0AEF03BB">
      <w:pPr>
        <w:pStyle w:val="5"/>
      </w:pPr>
      <w:bookmarkStart w:id="4" w:name="a.-landing-page-authentication-login"/>
      <w:r>
        <w:t>A. Landing Page &amp; Authentication (</w:t>
      </w:r>
      <w:r>
        <w:rPr>
          <w:rStyle w:val="48"/>
        </w:rPr>
        <w:t>/login</w:t>
      </w:r>
      <w:r>
        <w:t>)</w:t>
      </w:r>
    </w:p>
    <w:p w14:paraId="507BFD82">
      <w:pPr>
        <w:pStyle w:val="23"/>
      </w:pPr>
      <w:r>
        <w:t xml:space="preserve">The gateway to the platform emphasizes security and a high-tech aesthetic: * </w:t>
      </w:r>
      <w:r>
        <w:rPr>
          <w:b/>
          <w:bCs/>
        </w:rPr>
        <w:t>Premium Dual-Pane UI:</w:t>
      </w:r>
      <w:r>
        <w:t xml:space="preserve"> A split-screen layout featuring a glassmorphic login card floating over a dynamic, branded gradient overlay (</w:t>
      </w:r>
      <w:r>
        <w:rPr>
          <w:rStyle w:val="48"/>
        </w:rPr>
        <w:t>login-bg.png</w:t>
      </w:r>
      <w:r>
        <w:t xml:space="preserve">), establishing immediate professional credibility. * </w:t>
      </w:r>
      <w:r>
        <w:rPr>
          <w:b/>
          <w:bCs/>
        </w:rPr>
        <w:t>Dual Authentication Modes:</w:t>
      </w:r>
      <w:r>
        <w:t xml:space="preserve"> Users can seamlessly toggle between “Sign In” and “Create Account” states. * </w:t>
      </w:r>
      <w:r>
        <w:rPr>
          <w:b/>
          <w:bCs/>
        </w:rPr>
        <w:t>Authentication Providers:</w:t>
      </w:r>
      <w:r>
        <w:t xml:space="preserve"> * Native secure Email/Password registration. * One-click Google Sign-in OAuth integration for rapid onboarding. * </w:t>
      </w:r>
      <w:r>
        <w:rPr>
          <w:b/>
          <w:bCs/>
        </w:rPr>
        <w:t>Route Protection:</w:t>
      </w:r>
      <w:r>
        <w:t xml:space="preserve"> All dashboard endpoints and data fetching mechanisms are strictly protected; unauthenticated traffic is intercepted and redirected immediately.</w:t>
      </w:r>
    </w:p>
    <w:bookmarkEnd w:id="4"/>
    <w:p w14:paraId="37971CFC">
      <w:pPr>
        <w:pStyle w:val="5"/>
      </w:pPr>
      <w:bookmarkStart w:id="5" w:name="b.-the-form-fit-dashboard-interface"/>
      <w:r>
        <w:t>B. The Form-Fit Dashboard Interface (</w:t>
      </w:r>
      <w:r>
        <w:rPr>
          <w:rStyle w:val="48"/>
        </w:rPr>
        <w:t>/</w:t>
      </w:r>
      <w:r>
        <w:t>)</w:t>
      </w:r>
    </w:p>
    <w:p w14:paraId="36ED374F">
      <w:pPr>
        <w:pStyle w:val="23"/>
      </w:pPr>
      <w:r>
        <w:t>The main dashboard serves as the administrative command center, compartmentalized into five core functionality tabs, accompanied by a dynamic sidebar and top-bar layout.</w:t>
      </w:r>
    </w:p>
    <w:p w14:paraId="72D25B60">
      <w:pPr>
        <w:pStyle w:val="6"/>
      </w:pPr>
      <w:bookmarkStart w:id="6" w:name="global-navigation-layout"/>
      <w:r>
        <w:t>1. Global Navigation &amp; Layout</w:t>
      </w:r>
    </w:p>
    <w:p w14:paraId="06A71AE9">
      <w:pPr>
        <w:pStyle w:val="24"/>
        <w:numPr>
          <w:ilvl w:val="0"/>
          <w:numId w:val="1"/>
        </w:numPr>
      </w:pPr>
      <w:r>
        <w:rPr>
          <w:b/>
          <w:bCs/>
        </w:rPr>
        <w:t>Left Sidebar Navigation:</w:t>
      </w:r>
      <w:r>
        <w:t xml:space="preserve"> Instant access to Dashboard, Learners, Assessments, 3D Tools, and Reports. Includes a secure </w:t>
      </w:r>
      <w:r>
        <w:rPr>
          <w:b/>
          <w:bCs/>
        </w:rPr>
        <w:t>Logout</w:t>
      </w:r>
      <w:r>
        <w:t xml:space="preserve"> mechanism.</w:t>
      </w:r>
    </w:p>
    <w:p w14:paraId="47E9223E">
      <w:pPr>
        <w:pStyle w:val="24"/>
        <w:numPr>
          <w:ilvl w:val="0"/>
          <w:numId w:val="1"/>
        </w:numPr>
      </w:pPr>
      <w:r>
        <w:rPr>
          <w:b/>
          <w:bCs/>
        </w:rPr>
        <w:t>Top-Bar Interface:</w:t>
      </w:r>
      <w:r>
        <w:t xml:space="preserve"> Features a global search input UI, notification bell, and an avatar profile snippet reflecting the current authenticated user.</w:t>
      </w:r>
    </w:p>
    <w:p w14:paraId="3EC389C0">
      <w:pPr>
        <w:pStyle w:val="24"/>
        <w:numPr>
          <w:ilvl w:val="0"/>
          <w:numId w:val="1"/>
        </w:numPr>
      </w:pPr>
      <w:r>
        <w:rPr>
          <w:b/>
          <w:bCs/>
        </w:rPr>
        <w:t>Real-time Synchronization:</w:t>
      </w:r>
      <w:r>
        <w:t xml:space="preserve"> The dashboard automatically polls and syncs state with the Firestore backend (via the Admin SDK) every 10 seconds, ensuring up-to-date data delivery.</w:t>
      </w:r>
    </w:p>
    <w:bookmarkEnd w:id="6"/>
    <w:p w14:paraId="3D215F12">
      <w:pPr>
        <w:pStyle w:val="6"/>
      </w:pPr>
      <w:bookmarkStart w:id="7" w:name="Xc277bfa483073519cc56580a54dc7a444916c3c"/>
      <w:r>
        <w:t xml:space="preserve">2. Innovation Hub Overview (The </w:t>
      </w:r>
      <w:r>
        <w:rPr>
          <w:rStyle w:val="48"/>
        </w:rPr>
        <w:t>Dashboard</w:t>
      </w:r>
      <w:r>
        <w:t xml:space="preserve"> Tab)</w:t>
      </w:r>
    </w:p>
    <w:p w14:paraId="1DD31809">
      <w:pPr>
        <w:pStyle w:val="23"/>
      </w:pPr>
      <w:r>
        <w:t xml:space="preserve">Provides a high-level, at-a-glance summary of platform health and activity: * </w:t>
      </w:r>
      <w:r>
        <w:rPr>
          <w:b/>
          <w:bCs/>
        </w:rPr>
        <w:t>Innovation Banner:</w:t>
      </w:r>
      <w:r>
        <w:t xml:space="preserve"> A prominent, styled banner broadcasting the mission: </w:t>
      </w:r>
      <w:r>
        <w:rPr>
          <w:i/>
          <w:iCs/>
        </w:rPr>
        <w:t>“Empowering Learners through Inclusive Physical &amp; Ergonomic AI.”</w:t>
      </w:r>
      <w:r>
        <w:t xml:space="preserve"> * </w:t>
      </w:r>
      <w:r>
        <w:rPr>
          <w:b/>
          <w:bCs/>
        </w:rPr>
        <w:t>Real-Time Statistical KPIs:</w:t>
      </w:r>
      <w:r>
        <w:t xml:space="preserve"> Three distinct stat cards tracking: * </w:t>
      </w:r>
      <w:r>
        <w:rPr>
          <w:b/>
          <w:bCs/>
        </w:rPr>
        <w:t>Total Learners</w:t>
      </w:r>
      <w:r>
        <w:t xml:space="preserve"> registered in the system. * </w:t>
      </w:r>
      <w:r>
        <w:rPr>
          <w:b/>
          <w:bCs/>
        </w:rPr>
        <w:t>Pending Analysis</w:t>
      </w:r>
      <w:r>
        <w:t xml:space="preserve"> requests awaiting AI processing. * </w:t>
      </w:r>
      <w:r>
        <w:rPr>
          <w:b/>
          <w:bCs/>
        </w:rPr>
        <w:t>3D Tools Ready</w:t>
      </w:r>
      <w:r>
        <w:t xml:space="preserve"> for immediate manufacturing. * </w:t>
      </w:r>
      <w:r>
        <w:rPr>
          <w:b/>
          <w:bCs/>
        </w:rPr>
        <w:t>Recent Class Progress Tracking:</w:t>
      </w:r>
      <w:r>
        <w:t xml:space="preserve"> A data table displaying active classes/students, combined with dynamic progress bars and active status badges to monitor ongoing educational workflows.</w:t>
      </w:r>
    </w:p>
    <w:bookmarkEnd w:id="7"/>
    <w:p w14:paraId="5FD70860">
      <w:pPr>
        <w:pStyle w:val="6"/>
      </w:pPr>
      <w:bookmarkStart w:id="8" w:name="X703ff162097b8f6fdd7c056d06e9c9ff776a745"/>
      <w:r>
        <w:t xml:space="preserve">3. Learner Management Module (The </w:t>
      </w:r>
      <w:r>
        <w:rPr>
          <w:rStyle w:val="48"/>
        </w:rPr>
        <w:t>Learners</w:t>
      </w:r>
      <w:r>
        <w:t xml:space="preserve"> Tab)</w:t>
      </w:r>
    </w:p>
    <w:p w14:paraId="0A57C01D">
      <w:pPr>
        <w:pStyle w:val="23"/>
      </w:pPr>
      <w:r>
        <w:t xml:space="preserve">A centralized hub for managing student profiles and tracking specialized ergonomic needs: * </w:t>
      </w:r>
      <w:r>
        <w:rPr>
          <w:b/>
          <w:bCs/>
        </w:rPr>
        <w:t>Profile Creation:</w:t>
      </w:r>
      <w:r>
        <w:t xml:space="preserve"> Users can invoke a clean modal interface to add new learners by defining: * Full Name * Age * </w:t>
      </w:r>
      <w:r>
        <w:rPr>
          <w:b/>
          <w:bCs/>
        </w:rPr>
        <w:t>Physical Inabilities / Constrictions Details:</w:t>
      </w:r>
      <w:r>
        <w:t xml:space="preserve"> A dedicated textarea explicitly capturing the student’s unique physical accessibility needs (e.g., restricted mobility, missing limbs). This data directly anchors the empathetic AI assessment later. * </w:t>
      </w:r>
      <w:r>
        <w:rPr>
          <w:b/>
          <w:bCs/>
        </w:rPr>
        <w:t>Learner Grid UI:</w:t>
      </w:r>
      <w:r>
        <w:t xml:space="preserve"> Beautifully formatted cards for each learner displaying their metadata and a dedicated “Special Needs” focal point. * </w:t>
      </w:r>
      <w:r>
        <w:rPr>
          <w:b/>
          <w:bCs/>
        </w:rPr>
        <w:t>Secure Profile Deletion:</w:t>
      </w:r>
      <w:r>
        <w:t xml:space="preserve"> A “Trash” mechanism featuring a visually striking red warning modal. It forces users to explicitly confirm the permanent, cascading deletion of the student’s profile, including all corresponding assessments and reports.</w:t>
      </w:r>
    </w:p>
    <w:bookmarkEnd w:id="8"/>
    <w:p w14:paraId="15C5E213">
      <w:pPr>
        <w:pStyle w:val="6"/>
      </w:pPr>
      <w:bookmarkStart w:id="9" w:name="X48e7a0762e35872ea9c7162fd81323c56b2398e"/>
      <w:r>
        <w:t xml:space="preserve">4. Deep AI Assessment Engine (The </w:t>
      </w:r>
      <w:r>
        <w:rPr>
          <w:rStyle w:val="48"/>
        </w:rPr>
        <w:t>Assessments</w:t>
      </w:r>
      <w:r>
        <w:t xml:space="preserve"> Tab)</w:t>
      </w:r>
    </w:p>
    <w:p w14:paraId="509CC977">
      <w:pPr>
        <w:pStyle w:val="23"/>
      </w:pPr>
      <w:r>
        <w:t xml:space="preserve">The core technological engine of the platform, transforming real-world visual data into actionable physical solutions: * </w:t>
      </w:r>
      <w:r>
        <w:rPr>
          <w:b/>
          <w:bCs/>
        </w:rPr>
        <w:t>New Assessment Initiation:</w:t>
      </w:r>
      <w:r>
        <w:t xml:space="preserve"> Users select a profiled learner and initiate the visual data capture pipeline through a sleek modal. * </w:t>
      </w:r>
      <w:r>
        <w:rPr>
          <w:b/>
          <w:bCs/>
        </w:rPr>
        <w:t>Dual Media Capture Pipelines:</w:t>
      </w:r>
      <w:r>
        <w:t xml:space="preserve"> * </w:t>
      </w:r>
      <w:r>
        <w:rPr>
          <w:b/>
          <w:bCs/>
        </w:rPr>
        <w:t>Frictionless Upload Dropzone:</w:t>
      </w:r>
      <w:r>
        <w:t xml:space="preserve"> Drag-and-drop support for existing images and videos (</w:t>
      </w:r>
      <w:r>
        <w:rPr>
          <w:rStyle w:val="48"/>
        </w:rPr>
        <w:t>.jpg</w:t>
      </w:r>
      <w:r>
        <w:t xml:space="preserve">, </w:t>
      </w:r>
      <w:r>
        <w:rPr>
          <w:rStyle w:val="48"/>
        </w:rPr>
        <w:t>.mp4</w:t>
      </w:r>
      <w:r>
        <w:t xml:space="preserve">). * </w:t>
      </w:r>
      <w:r>
        <w:rPr>
          <w:b/>
          <w:bCs/>
        </w:rPr>
        <w:t>Live Web Camera Integration:</w:t>
      </w:r>
      <w:r>
        <w:t xml:space="preserve"> Native browser access granting users the ability to trigger a live video feed, take an instant snapshot (</w:t>
      </w:r>
      <w:r>
        <w:rPr>
          <w:rStyle w:val="48"/>
        </w:rPr>
        <w:t>capturePhoto()</w:t>
      </w:r>
      <w:r>
        <w:t xml:space="preserve">), and securely package it for processing entirely in browser. * </w:t>
      </w:r>
      <w:r>
        <w:rPr>
          <w:b/>
          <w:bCs/>
        </w:rPr>
        <w:t>Premium Analysis “Scanner” UI:</w:t>
      </w:r>
      <w:r>
        <w:t xml:space="preserve"> A deeply immersive visual processing state while Gemini 3 analyzes the media: * Randomized, dynamic terminal statuses cycling rapidly between </w:t>
      </w:r>
      <w:r>
        <w:rPr>
          <w:rStyle w:val="48"/>
        </w:rPr>
        <w:t>"thinking..."</w:t>
      </w:r>
      <w:r>
        <w:t xml:space="preserve">, </w:t>
      </w:r>
      <w:r>
        <w:rPr>
          <w:rStyle w:val="48"/>
        </w:rPr>
        <w:t>"generating..."</w:t>
      </w:r>
      <w:r>
        <w:t xml:space="preserve">, and </w:t>
      </w:r>
      <w:r>
        <w:rPr>
          <w:rStyle w:val="48"/>
        </w:rPr>
        <w:t>"verifying..."</w:t>
      </w:r>
      <w:r>
        <w:t xml:space="preserve">. * Animated “Marching Ants” glowing borders processing the data package. * An animated LED strip pulsing sequentially, and independently blinking corner LEDs to emulate advanced medical scanning hardware. * </w:t>
      </w:r>
      <w:r>
        <w:rPr>
          <w:b/>
          <w:bCs/>
        </w:rPr>
        <w:t>Backend SSE Streaming:</w:t>
      </w:r>
      <w:r>
        <w:t xml:space="preserve"> The Gemini 3 analysis progress is streamed live via Server-Sent Events, updating the UI’s progress bar smoothly as the AI unpacks the data. * </w:t>
      </w:r>
      <w:r>
        <w:rPr>
          <w:b/>
          <w:bCs/>
        </w:rPr>
        <w:t>Graceful Abort Capability:</w:t>
      </w:r>
      <w:r>
        <w:t xml:space="preserve"> Users can forcefully cancel an in-progress AI analysis via an </w:t>
      </w:r>
      <w:r>
        <w:rPr>
          <w:rStyle w:val="48"/>
        </w:rPr>
        <w:t>AbortController</w:t>
      </w:r>
      <w:r>
        <w:t xml:space="preserve">, which cleans the UI state safely and prevents writing corrupted payload data to the backend. * </w:t>
      </w:r>
      <w:r>
        <w:rPr>
          <w:b/>
          <w:bCs/>
        </w:rPr>
        <w:t>Assessment History Log:</w:t>
      </w:r>
      <w:r>
        <w:t xml:space="preserve"> A master table listing all previous AI runs, displaying a media thumbnail (with hover scaling), the tagged Learner ID, a summary of the AI’s findings, highlighting the recommended tool badge, and explicit completion status tags.</w:t>
      </w:r>
    </w:p>
    <w:bookmarkEnd w:id="9"/>
    <w:p w14:paraId="7C896320">
      <w:pPr>
        <w:pStyle w:val="6"/>
      </w:pPr>
      <w:bookmarkStart w:id="10" w:name="X6080f9b7d5b03a44fad890ed5d45f5ad5554cda"/>
      <w:r>
        <w:t xml:space="preserve">5. 3D Printed Assistive Tools Provisioning (The </w:t>
      </w:r>
      <w:r>
        <w:rPr>
          <w:rStyle w:val="48"/>
        </w:rPr>
        <w:t>Tools</w:t>
      </w:r>
      <w:r>
        <w:t xml:space="preserve"> Tab)</w:t>
      </w:r>
    </w:p>
    <w:p w14:paraId="1525DD30">
      <w:pPr>
        <w:pStyle w:val="23"/>
      </w:pPr>
      <w:r>
        <w:t xml:space="preserve">The realization of the digital-to-physical bridge: * </w:t>
      </w:r>
      <w:r>
        <w:rPr>
          <w:b/>
          <w:bCs/>
        </w:rPr>
        <w:t>Deterministic Tool Mapping:</w:t>
      </w:r>
      <w:r>
        <w:t xml:space="preserve"> The system pairs the AI’s diagnostic string with a predefined library of assistive tools (e.g., adaptive grips, writing stabilizers) directly linked to that specific learner. * </w:t>
      </w:r>
      <w:r>
        <w:rPr>
          <w:b/>
          <w:bCs/>
        </w:rPr>
        <w:t>One-Click Fulfillment:</w:t>
      </w:r>
      <w:r>
        <w:t xml:space="preserve"> The UI renders dedicated “ready-to-print” cards for each student requiring an intervention. A prominent </w:t>
      </w:r>
      <w:r>
        <w:rPr>
          <w:rStyle w:val="48"/>
        </w:rPr>
        <w:t>Download STL</w:t>
      </w:r>
      <w:r>
        <w:t xml:space="preserve"> action immediately provisions the specific </w:t>
      </w:r>
      <w:r>
        <w:rPr>
          <w:rStyle w:val="48"/>
        </w:rPr>
        <w:t>.stl</w:t>
      </w:r>
      <w:r>
        <w:t xml:space="preserve"> geometry file, allowing schools or OTs to push it straight to their local 3D printer slicing software.</w:t>
      </w:r>
    </w:p>
    <w:bookmarkEnd w:id="10"/>
    <w:p w14:paraId="1C73DE84">
      <w:pPr>
        <w:pStyle w:val="6"/>
      </w:pPr>
      <w:bookmarkStart w:id="11" w:name="X660b3a1af66a12a0bceb4bf158227b195b05832"/>
      <w:r>
        <w:t xml:space="preserve">6. Dynamic Accessibility Reporting (The </w:t>
      </w:r>
      <w:r>
        <w:rPr>
          <w:rStyle w:val="48"/>
        </w:rPr>
        <w:t>Reports</w:t>
      </w:r>
      <w:r>
        <w:t xml:space="preserve"> Tab)</w:t>
      </w:r>
    </w:p>
    <w:p w14:paraId="54E95067">
      <w:pPr>
        <w:pStyle w:val="23"/>
      </w:pPr>
      <w:r>
        <w:t xml:space="preserve">Translating raw, mathematically-intensive AI logic into human-readable occupational therapy documentation: * </w:t>
      </w:r>
      <w:r>
        <w:rPr>
          <w:b/>
          <w:bCs/>
        </w:rPr>
        <w:t>Collapsible Report Accordions:</w:t>
      </w:r>
      <w:r>
        <w:t xml:space="preserve"> Assessments are housed in elegant, expandable containers utilizing chevron toggles to prevent “wall of text” information overload. * </w:t>
      </w:r>
      <w:r>
        <w:rPr>
          <w:b/>
          <w:bCs/>
        </w:rPr>
        <w:t>Advanced Markdown &amp; Mathematics Parsing:</w:t>
      </w:r>
      <w:r>
        <w:t xml:space="preserve"> The UI actively cleans raw LaTeX outputs generated by the AI, and renders the intelligence beautifully via </w:t>
      </w:r>
      <w:r>
        <w:rPr>
          <w:rStyle w:val="48"/>
        </w:rPr>
        <w:t>react-markdown</w:t>
      </w:r>
      <w:r>
        <w:t xml:space="preserve">, </w:t>
      </w:r>
      <w:r>
        <w:rPr>
          <w:rStyle w:val="48"/>
        </w:rPr>
        <w:t>remark-math</w:t>
      </w:r>
      <w:r>
        <w:t xml:space="preserve">, and </w:t>
      </w:r>
      <w:r>
        <w:rPr>
          <w:rStyle w:val="48"/>
        </w:rPr>
        <w:t>rehype-katex</w:t>
      </w:r>
      <w:r>
        <w:t xml:space="preserve"> libraries. * </w:t>
      </w:r>
      <w:r>
        <w:rPr>
          <w:b/>
          <w:bCs/>
        </w:rPr>
        <w:t>Targeted Export Capabilities</w:t>
      </w:r>
      <w:r>
        <w:t xml:space="preserve">: * </w:t>
      </w:r>
      <w:r>
        <w:rPr>
          <w:b/>
          <w:bCs/>
        </w:rPr>
        <w:t>Global Report Export:</w:t>
      </w:r>
      <w:r>
        <w:t xml:space="preserve"> Allows administration to hit one button and invoke a native browser print-state of the entire active learner cohort. * </w:t>
      </w:r>
      <w:r>
        <w:rPr>
          <w:b/>
          <w:bCs/>
        </w:rPr>
        <w:t>Individual Report Extraction:</w:t>
      </w:r>
      <w:r>
        <w:t xml:space="preserve"> Dedicated inline print actions dynamically generate an isolated, clean HTML view of a single student’s report (injecting the correct Katex formatting stylesheets) to share seamlessly with doctors or parents.</w:t>
      </w:r>
    </w:p>
    <w:bookmarkEnd w:id="3"/>
    <w:bookmarkEnd w:id="5"/>
    <w:bookmarkEnd w:id="11"/>
    <w:p w14:paraId="13C19B0E">
      <w:pPr>
        <w:pStyle w:val="4"/>
      </w:pPr>
      <w:bookmarkStart w:id="12" w:name="summary-of-key-innovation-context"/>
      <w:r>
        <w:t>4. Summary of Key Innovation Context</w:t>
      </w:r>
    </w:p>
    <w:p w14:paraId="24D53D6B">
      <w:pPr>
        <w:pStyle w:val="24"/>
        <w:numPr>
          <w:ilvl w:val="0"/>
          <w:numId w:val="1"/>
        </w:numPr>
      </w:pPr>
      <w:r>
        <w:rPr>
          <w:b/>
          <w:bCs/>
        </w:rPr>
        <w:t>Empathetic Data Processing:</w:t>
      </w:r>
      <w:r>
        <w:t xml:space="preserve"> Form-Fit Learner explicitly merges the visual analysis of a student’s posture with manual, human-entered </w:t>
      </w:r>
      <w:r>
        <w:rPr>
          <w:b/>
          <w:bCs/>
        </w:rPr>
        <w:t>Disability Constraints</w:t>
      </w:r>
      <w:r>
        <w:t>. This ensures the Gemini 3 engine generates personalized, medically aware tool recommendations rather than generic geometric assumptions.</w:t>
      </w:r>
    </w:p>
    <w:p w14:paraId="583EF2AF">
      <w:pPr>
        <w:pStyle w:val="24"/>
        <w:numPr>
          <w:ilvl w:val="0"/>
          <w:numId w:val="1"/>
        </w:numPr>
      </w:pPr>
      <w:r>
        <w:rPr>
          <w:b/>
          <w:bCs/>
        </w:rPr>
        <w:t>Unprivileged Client Application:</w:t>
      </w:r>
      <w:r>
        <w:t xml:space="preserve"> Every read, write, update, and delete capability is verified Server-Side using the Firebase Admin SDK inside the Node server. This is critical for EdTech products striving to meet strict </w:t>
      </w:r>
      <w:r>
        <w:rPr>
          <w:b/>
          <w:bCs/>
        </w:rPr>
        <w:t>FERPA/HIPAA</w:t>
      </w:r>
      <w:r>
        <w:t xml:space="preserve"> compliance guidelines out-of-the-box.</w:t>
      </w:r>
    </w:p>
    <w:bookmarkEnd w:id="0"/>
    <w:bookmarkEnd w:id="12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wis721 WGL4 B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wis721 WGL4 BT">
    <w:panose1 w:val="020B0504020202020204"/>
    <w:charset w:val="00"/>
    <w:family w:val="auto"/>
    <w:pitch w:val="default"/>
    <w:sig w:usb0="00000287" w:usb1="00000000" w:usb2="00000000" w:usb3="00000000" w:csb0="4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1BC35C9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Subtitle"/>
    <w:basedOn w:val="17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2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454</Words>
  <Characters>3001</Characters>
  <Lines>12</Lines>
  <Paragraphs>8</Paragraphs>
  <TotalTime>7</TotalTime>
  <ScaleCrop>false</ScaleCrop>
  <LinksUpToDate>false</LinksUpToDate>
  <CharactersWithSpaces>3433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2026-04-10T09:04:00Z</dcterms:created>
  <dc:creator>WPS_1705513155</dc:creator>
  <cp:lastModifiedBy>WPS_1705513155</cp:lastModifiedBy>
  <dcterms:modified xsi:type="dcterms:W3CDTF">2026-04-10T09:13:55Z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eyJoZGlkIjoiMTYwMmRiYTM4MmI2OTgyZTY3MDBlYzJjMzM0OTEyM2EiLCJ1c2VySWQiOiIzNzI4NTM3MjMxNDkxIn0=</vt:lpwstr>
  </property>
  <property fmtid="{D5CDD505-2E9C-101B-9397-08002B2CF9AE}" pid="3" name="KSOProductBuildVer">
    <vt:lpwstr>1033-12.1.0.25242</vt:lpwstr>
  </property>
  <property fmtid="{D5CDD505-2E9C-101B-9397-08002B2CF9AE}" pid="4" name="ICV">
    <vt:lpwstr>094F13C892F34EAEB0B92F0EBAFB806F_12</vt:lpwstr>
  </property>
</Properties>
</file>