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r>
        <w:rPr>
          <w:b w:val="0"/>
        </w:rPr>
        <w:t xml:space="preserve">Plataforma Inteligente de Interpretación Hematológica en la Especie Canina para Orientación Diagnóstica, Control de Calidad y Vigilancia Poblacional. </w:t>
      </w:r>
    </w:p>
    <w:p w:rsidR="00000000" w:rsidDel="00000000" w:rsidP="00000000" w:rsidRDefault="00000000" w:rsidRPr="00000000" w14:paraId="00000002">
      <w:pPr>
        <w:jc w:val="center"/>
      </w:pPr>
      <w:r>
        <w:rPr>
          <w:b/>
          <w:sz w:val="24"/>
        </w:rPr>
        <w:t>Reporte # 2</w:t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8.0" w:type="dxa"/>
        <w:jc w:val="left"/>
        <w:tblLayout w:type="fixed"/>
        <w:tblLook w:val="0000"/>
      </w:tblPr>
      <w:tblGrid>
        <w:gridCol w:w="2553"/>
        <w:gridCol w:w="6195"/>
        <w:tblGridChange w:id="0">
          <w:tblGrid>
            <w:gridCol w:w="2553"/>
            <w:gridCol w:w="6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Fecha del Reporte</w:t>
            </w:r>
            <w:r w:rsidDel="00000000" w:rsidR="00000000" w:rsidRPr="00000000">
              <w:rPr>
                <w:rFonts w:ascii="Calibri" w:hAnsi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Calibri" w:hAnsi="Calibri"/>
              </w:rPr>
              <w:t>24/06/26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Integrantes del Proyecto </w:t>
            </w:r>
            <w:r w:rsidDel="00000000" w:rsidR="00000000" w:rsidRPr="00000000">
              <w:rPr>
                <w:rFonts w:ascii="Calibri" w:hAnsi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hAnsi="Calibri"/>
                <w:rtl w:val="0"/>
              </w:rPr>
              <w:t xml:space="preserve">Carlos David Hernández Collado (1014-8744)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hAnsi="Calibri"/>
                <w:rtl w:val="0"/>
              </w:rPr>
              <w:t xml:space="preserve">Edwin Andrés Balbuena Bisonó (1014-9910)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Periodo</w:t>
            </w:r>
            <w:r w:rsidDel="00000000" w:rsidR="00000000" w:rsidRPr="00000000">
              <w:rPr>
                <w:rFonts w:ascii="Calibri" w:hAnsi="Calibri"/>
                <w:rtl w:val="0"/>
              </w:rPr>
              <w:t xml:space="preserve">          Desde: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Calibri" w:hAnsi="Calibri"/>
              </w:rPr>
              <w:t>02/06/26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rFonts w:ascii="Calibri" w:hAnsi="Calibri"/>
                <w:rtl w:val="0"/>
              </w:rPr>
              <w:t xml:space="preserve">A: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Calibri" w:hAnsi="Calibri"/>
              </w:rPr>
              <w:t>24/06/26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48.0" w:type="dxa"/>
        <w:jc w:val="left"/>
        <w:tblLayout w:type="fixed"/>
        <w:tblLook w:val="0000"/>
      </w:tblPr>
      <w:tblGrid>
        <w:gridCol w:w="2518"/>
        <w:gridCol w:w="6230"/>
        <w:tblGridChange w:id="0">
          <w:tblGrid>
            <w:gridCol w:w="2518"/>
            <w:gridCol w:w="6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Rendimiento del Calendario</w:t>
            </w:r>
            <w:r w:rsidDel="00000000" w:rsidR="00000000" w:rsidRPr="00000000">
              <w:rPr>
                <w:rFonts w:ascii="Calibri" w:hAnsi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Calibri" w:hAnsi="Calibri"/>
              </w:rPr>
              <w:t>Cumplimiento conforme al cronograma planificado para Prototipo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hAnsi="Calibri"/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rPr>
                <w:rFonts w:ascii="Calibri" w:hAnsi="Calibri"/>
              </w:rPr>
              <w:t>Durante el período considerado se completó el segundo prototipo del sistema, integrando mejoras del modelo, la API, el portal, el dashboard y el mapa como componentes de apoyo. El tablero de Jira registra 57 elementos en estado Done, 1 en In Progress y 42 pendientes, lo que evidencia un avance sostenido y ordenado hacia el cierre del proyecto. El corte evaluado muestra cumplimiento adecuado del cronograma y deja encaminadas las actividades de Prototipo 3, encuesta, documento final, artículo y defensa.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</w:pPr>
      <w:r>
        <w:drawing>
          <wp:inline>
            <wp:extent cx="54864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2_jira_es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8">
      <w:pPr>
        <w:jc w:val="center"/>
      </w:pPr>
      <w:r>
        <w:rPr>
          <w:b w:val="0"/>
          <w:i/>
        </w:rPr>
        <w:t>Anexo: Estado del backlog Jira para el segundo período</w:t>
      </w:r>
    </w:p>
    <w:p w:rsidR="00000000" w:rsidDel="00000000" w:rsidP="00000000" w:rsidRDefault="00000000" w:rsidRPr="00000000" w14:paraId="00000019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Layout w:type="fixed"/>
        <w:tblLook w:val="00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Mayores problemas existentes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1. Consolidación de resultados de encuesta</w:t>
            </w:r>
            <w:r>
              <w:rPr>
                <w:rFonts w:ascii="Calibri" w:hAnsi="Calibri"/>
              </w:rPr>
              <w:br/>
              <w:t>La encuesta ya se encuentra recolectando datos y representa una oportunidad para complementar la validación técnica con percepción de usuarios. El punto pendiente es consolidar la muestra y organizar los resultados en gráficos claros sobre utilidad, claridad, confianza e intención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2. Organización de evidencias visuales de la plataforma</w:t>
            </w:r>
            <w:r>
              <w:rPr>
                <w:rFonts w:ascii="Calibri" w:hAnsi="Calibri"/>
              </w:rPr>
              <w:br/>
              <w:t>La migración visual de la plataforma ya muestra una mejora importante en presentación y flujo de uso. Para el cierre del reporte se requiere seleccionar las capturas más representativas y ubicarlas como anexos con leyendas que expliquen el avance logrado.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3. Presentación positiva y responsable de las etiquetas</w:t>
            </w:r>
            <w:r>
              <w:rPr>
                <w:rFonts w:ascii="Calibri" w:hAnsi="Calibri"/>
              </w:rPr>
              <w:br/>
              <w:t>El sistema ya trabaja con 7 etiquetas oficiales y métricas publicables. La clasificación por nivel de madurez debe comunicarse como una fortaleza metodológica, porque permite presentar resultados sólidos y mantener una ruta clara de mejora para las etiquetas que continuarán refinándose.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4. Integración final de explicación, dashboard y alcance clínico</w:t>
            </w:r>
            <w:r>
              <w:rPr>
                <w:rFonts w:ascii="Calibri" w:hAnsi="Calibri"/>
              </w:rPr>
              <w:br/>
              <w:t>El portal, las métricas, SHAP, el dashboard y el mapa deben quedar conectados en una narrativa única. El objetivo es mostrar un sistema completo de apoyo interpretativo, con resultados comprensibles y con una comunicación responsable orientada al uso veterinario.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0.0" w:type="dxa"/>
        <w:jc w:val="left"/>
        <w:tblLayout w:type="fixed"/>
        <w:tblLook w:val="00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Acciones planificadas para resolver los problemas existentes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1. Cierre y análisis de resultados de encuesta</w:t>
            </w:r>
            <w:r>
              <w:rPr>
                <w:rFonts w:ascii="Calibri" w:hAnsi="Calibri"/>
              </w:rPr>
              <w:br/>
              <w:t>Se organizarán las respuestas recolectadas en gráficos de barras o pastel para perfil de participantes, utilidad percibida, claridad de resultados, confianza, intención de uso y comentarios abiertos agrupados por 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2. Selección de capturas finales de la migración visual</w:t>
            </w:r>
            <w:r>
              <w:rPr>
                <w:rFonts w:ascii="Calibri" w:hAnsi="Calibri"/>
              </w:rPr>
              <w:br/>
              <w:t>Se integrarán capturas del nuevo flujo de la plataforma, incluyendo carga de hemograma, resultados, explicación, historial/seguimiento, dashboard y encuesta. Cada imagen se usará como evidencia de avance funcional y visual.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3. Comunicación de etiquetas por madurez del resultado</w:t>
            </w:r>
            <w:r>
              <w:rPr>
                <w:rFonts w:ascii="Calibri" w:hAnsi="Calibri"/>
              </w:rPr>
              <w:br/>
              <w:t>Las etiquetas con mejor desempeño se destacarán como resultados principales y las etiquetas en refinamiento se presentarán como parte de una estrategia de mejora continua. Este enfoque fortalece la transparencia del sistema sin restar valor al avance alcanzado.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4. Preparación de anexos y narrativa de cierre</w:t>
            </w:r>
            <w:r>
              <w:rPr>
                <w:rFonts w:ascii="Calibri" w:hAnsi="Calibri"/>
              </w:rPr>
              <w:br/>
              <w:t>Se consolidarán métricas, capturas, resultados SHAP, evidencia de validación clínica terminada, encuesta y tablero Jira para que el reporte muestre continuidad entre avance técnico, validación y preparación de defensa.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0.0" w:type="dxa"/>
        <w:jc w:val="left"/>
        <w:tblLayout w:type="fixed"/>
        <w:tblLook w:val="00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Temas que requieren la atención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1. Resultados de encuesta como complemento de validación</w:t>
            </w:r>
            <w:r>
              <w:rPr>
                <w:rFonts w:ascii="Calibri" w:hAnsi="Calibri"/>
              </w:rPr>
              <w:br/>
              <w:t>Debe priorizarse el análisis de la encuesta porque aportará evidencia sobre experiencia de uso, claridad de la interfaz y percepción de utilidad. Estos resultados pueden presentarse como respaldo del rediseño visual y del flujo funcional.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2. Evidencia de validación clínica finalizada</w:t>
            </w:r>
            <w:r>
              <w:rPr>
                <w:rFonts w:ascii="Calibri" w:hAnsi="Calibri"/>
              </w:rPr>
              <w:br/>
              <w:t>La validación clínica ya fue completada para este corte y debe incorporarse como logro del período. Conviene resumirla en términos de revisión realizada, utilidad de la comparación y aprendizaje aplicado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3. Trazabilidad entre modelo, portal y visualizaciones</w:t>
            </w:r>
            <w:r>
              <w:rPr>
                <w:rFonts w:ascii="Calibri" w:hAnsi="Calibri"/>
              </w:rPr>
              <w:br/>
              <w:t>Los resultados deben mostrarse como una cadena coherente: datos del hemograma, procesamiento, predicción, explicación SHAP, visualización en portal y análisis agregado en dashboard/mapa.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4. Cierre documental, artículo y defensa</w:t>
            </w:r>
            <w:r>
              <w:rPr>
                <w:rFonts w:ascii="Calibri" w:hAnsi="Calibri"/>
              </w:rPr>
              <w:br/>
              <w:t>El informe y el artículo deben incorporar los avances ya cerrados, las métricas principales, la validación clínica, la encuesta y las capturas de la nueva plataforma. Esto dejará una base más fuerte para la presentación final.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0.0" w:type="dxa"/>
        <w:jc w:val="left"/>
        <w:tblLayout w:type="fixed"/>
        <w:tblLook w:val="00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Mayores logros del periodo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1. Cierre del segundo prototipo funcional</w:t>
            </w:r>
            <w:r>
              <w:rPr>
                <w:rFonts w:ascii="Calibri" w:hAnsi="Calibri"/>
              </w:rPr>
              <w:br/>
              <w:t>Se completó el Prototipo 2, integrando ML v2, API/portal, dashboard justificado y mapa epidemiológico con filtros de apoyo. Este avance consolida el flujo desde carga, procesamiento, predicción, explicación y visualización agregada.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2. Validación clínica finalizada para el período</w:t>
            </w:r>
            <w:r>
              <w:rPr>
                <w:rFonts w:ascii="Calibri" w:hAnsi="Calibri"/>
              </w:rPr>
              <w:br/>
              <w:t>Se terminó la validación clínica prevista para este corte, incorporando revisión experta como respaldo del sistema. Este avance permite presentar el prototipo con una base clínica más clara y con aprendizajes ya integrados a la interpretación de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3. Consolidación de métricas del sistema</w:t>
            </w:r>
            <w:r>
              <w:rPr>
                <w:rFonts w:ascii="Calibri" w:hAnsi="Calibri"/>
              </w:rPr>
              <w:br/>
              <w:t>El estado final del sistema reporta 7 etiquetas oficiales, PR-AUC macro de 0.953, F1 macro de 0.873 y recall macro de 0.921, con 585 verdaderos positivos, 54 falsos positivos, 49 falsos negativos y 1,895 verdaderos negativos.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4. Mejora del modelo y estrategia de etiquetas</w:t>
            </w:r>
            <w:r>
              <w:rPr>
                <w:rFonts w:ascii="Calibri" w:hAnsi="Calibri"/>
              </w:rPr>
              <w:br/>
              <w:t>Se entrenó y evaluó una versión mejorada del modelo, con umbrales documentados y una estrategia clara para comunicar la madurez de cada etiqueta. Esto fortalece la lectura de resultados y permite proyectar mejoras futuras de manera ordenada.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5. Incorporación de explicabilidad SHAP</w:t>
            </w:r>
            <w:r>
              <w:rPr>
                <w:rFonts w:ascii="Calibri" w:hAnsi="Calibri"/>
              </w:rPr>
              <w:br/>
              <w:t>Se generaron artefactos SHAP por etiqueta, permitiendo explicar qué variables hematológicas influyen más en cada salida. Por ejemplo, Monocytes y WBC apoyan patrones inflamatorios, mientras HGB, HCT y Reticulocytes apoyan patrones de anemia.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6. Migración visual de la plataforma e inicio de recolección por encuesta</w:t>
            </w:r>
            <w:r>
              <w:rPr>
                <w:rFonts w:ascii="Calibri" w:hAnsi="Calibri"/>
              </w:rPr>
              <w:br/>
              <w:t>Se avanzó en la mejora visual de la plataforma y se inició una encuesta para recolectar datos sobre experiencia, claridad y aceptación del sistema. Estas evidencias complementan los resultados técnicos con validación de uso.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</w:pPr>
      <w:r>
        <w:drawing>
          <wp:inline>
            <wp:extent cx="5486400" cy="4004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11_evolucion_metric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49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6">
      <w:pPr>
        <w:jc w:val="center"/>
      </w:pPr>
      <w:r>
        <w:rPr>
          <w:b w:val="0"/>
          <w:i/>
        </w:rPr>
        <w:t>Anexo: Evolución de métricas entre versiones del modelo</w:t>
      </w:r>
    </w:p>
    <w:p w:rsidR="00000000" w:rsidDel="00000000" w:rsidP="00000000" w:rsidRDefault="00000000" w:rsidRPr="00000000" w14:paraId="00000077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</w:pPr>
      <w:r>
        <w:drawing>
          <wp:inline>
            <wp:extent cx="5486400" cy="2320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86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9">
      <w:pPr>
        <w:jc w:val="center"/>
      </w:pPr>
      <w:r>
        <w:rPr>
          <w:b w:val="0"/>
          <w:i/>
        </w:rPr>
        <w:t>Anexo: Curvas ROC y Precision-Recall por etiqueta</w:t>
      </w:r>
    </w:p>
    <w:p w:rsidR="00000000" w:rsidDel="00000000" w:rsidP="00000000" w:rsidRDefault="00000000" w:rsidRPr="00000000" w14:paraId="0000007A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</w:pPr>
      <w:r>
        <w:drawing>
          <wp:inline>
            <wp:extent cx="5486400" cy="8398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mportancia_por_etique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988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C">
      <w:pPr>
        <w:jc w:val="center"/>
      </w:pPr>
      <w:r>
        <w:rPr>
          <w:b w:val="0"/>
          <w:i/>
        </w:rPr>
        <w:t>Anexo: Importancia SHAP por etiqueta del sistema</w:t>
      </w:r>
    </w:p>
    <w:p w:rsidR="00000000" w:rsidDel="00000000" w:rsidP="00000000" w:rsidRDefault="00000000" w:rsidRPr="00000000" w14:paraId="0000007D">
      <w:pPr>
        <w:jc w:val="center"/>
      </w:pPr>
      <w:r>
        <w:drawing>
          <wp:inline>
            <wp:extent cx="5486400" cy="2308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5_metricas_test_barr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10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E">
      <w:pPr>
        <w:jc w:val="center"/>
      </w:pPr>
      <w:r>
        <w:t>Anexo: Métricas del modelo por etiqueta para el segundo prototipo</w:t>
      </w:r>
    </w:p>
    <w:p w:rsidR="00000000" w:rsidDel="00000000" w:rsidP="00000000" w:rsidRDefault="00000000" w:rsidRPr="00000000" w14:paraId="0000007F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</w:pPr>
      <w:r>
        <w:drawing>
          <wp:inline>
            <wp:extent cx="5486400" cy="20047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11_heatmap_metric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475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81">
      <w:pPr>
        <w:jc w:val="center"/>
      </w:pPr>
      <w:r>
        <w:rPr>
          <w:b w:val="0"/>
          <w:i/>
        </w:rPr>
        <w:t>Anexo: Heatmap de métricas por etiqueta para selección de resultados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40.0" w:type="dxa"/>
        <w:jc w:val="left"/>
        <w:tblLayout w:type="fixed"/>
        <w:tblLook w:val="0000"/>
      </w:tblPr>
      <w:tblGrid>
        <w:gridCol w:w="9340"/>
        <w:tblGridChange w:id="0">
          <w:tblGrid>
            <w:gridCol w:w="9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hAnsi="Calibri"/>
                <w:b w:val="1"/>
                <w:bCs w:val="1"/>
                <w:rtl w:val="0"/>
              </w:rPr>
              <w:t xml:space="preserve">Logros planificados para el período siguiente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1. Preparar el Prototipo 3 y demo final preliminar</w:t>
            </w:r>
            <w:r>
              <w:rPr>
                <w:rFonts w:ascii="Calibri" w:hAnsi="Calibri"/>
              </w:rPr>
              <w:br/>
              <w:t>Se trabajará en un sistema completo validado, con demo reproducible, entorno estable y plan de contingencia para presentación académica.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2. Consolidar resultados de encuesta</w:t>
            </w:r>
            <w:r>
              <w:rPr>
                <w:rFonts w:ascii="Calibri" w:hAnsi="Calibri"/>
              </w:rPr>
              <w:br/>
              <w:t>Se reportarán gráficos de perfil de participantes, utilidad percibida, claridad, confianza, intención de uso y hallazgos cualitativos. Estos resultados apoyarán la discusión de usabilidad y aceptación.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3. Integrar probabilidades, SHAP y alertas de consulta veterinaria</w:t>
            </w:r>
            <w:r>
              <w:rPr>
                <w:rFonts w:ascii="Calibri" w:hAnsi="Calibri"/>
              </w:rPr>
              <w:br/>
              <w:t>Se priorizará una presentación comprensible de probabilidades, explicaciones y advertencias, cuidando que el usuario entienda el alcance informativo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4. Completar informe, artículo y anexos finales</w:t>
            </w:r>
            <w:r>
              <w:rPr>
                <w:rFonts w:ascii="Calibri" w:hAnsi="Calibri"/>
              </w:rPr>
              <w:br/>
              <w:t>Se incorporarán resultados, metodología, métricas, capturas del portal, evidencia de dashboard/mapa, validación clínica terminada y encuesta.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5. Preparar defensa y repositorio final</w:t>
            </w:r>
            <w:r>
              <w:rPr>
                <w:rFonts w:ascii="Calibri" w:hAnsi="Calibri"/>
              </w:rPr>
              <w:br/>
              <w:t>Se organizarán slides, guion de defensa, respuestas probables del jurado, modelos, datasets permitidos, scripts, evidencias y documentación final.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bottom w:color="808080" w:space="0" w:sz="12" w:val="single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>
        <w:rFonts w:ascii="Arial" w:cs="Arial" w:eastAsia="Arial" w:hAnsi="Arial"/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20"/>
        <w:szCs w:val="20"/>
        <w:rtl w:val="0"/>
      </w:rPr>
      <w:t xml:space="preserve">Plataforma Inteligente de Interpretación Hematológica en la Especie Canina para Orientación Diagnóstica, Control de Calidad y Vigilancia Poblacional.  – Reporte de Status</w:t>
    </w:r>
  </w:p>
  <w:p w:rsidR="00000000" w:rsidDel="00000000" w:rsidP="00000000" w:rsidRDefault="00000000" w:rsidRPr="00000000" w14:paraId="0000009A">
    <w:pPr>
      <w:tabs>
        <w:tab w:val="right" w:leader="none" w:pos="9360"/>
      </w:tabs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 xml:space="preserve">2 de 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tabs>
        <w:tab w:val="right" w:leader="none" w:pos="9360"/>
      </w:tabs>
      <w:jc w:val="center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ESCUELA DE INGENIERÍA EN COMPUTACIÓN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pBdr>
        <w:bottom w:color="808080" w:space="0" w:sz="12" w:val="single"/>
      </w:pBdr>
      <w:jc w:val="right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 </w:t>
    </w:r>
  </w:p>
  <w:p w:rsidR="00000000" w:rsidDel="00000000" w:rsidP="00000000" w:rsidRDefault="00000000" w:rsidRPr="00000000" w14:paraId="00000097">
    <w:pP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D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A+vHsbYr6k8DKMz6J2kE5HNLw==">CgMxLjA4AHIhMWduMldVYTJSLTR5QWlSMVhBYzZYLWU4blZYNm1IQXoy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