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325FA">
      <w:pPr>
        <w:pStyle w:val="Heading2"/>
        <w:divId w:val="1142238951"/>
        <w:rPr>
          <w:rFonts w:eastAsia="Times New Roman"/>
        </w:rPr>
      </w:pPr>
      <w:r>
        <w:rPr>
          <w:rFonts w:eastAsia="Times New Roman"/>
        </w:rPr>
        <w:t>ARTICLE 8.</w:t>
      </w:r>
      <w:r>
        <w:rPr>
          <w:rFonts w:eastAsia="Times New Roman"/>
        </w:rPr>
        <w:t xml:space="preserve"> </w:t>
      </w:r>
      <w:r>
        <w:rPr>
          <w:rFonts w:eastAsia="Times New Roman"/>
        </w:rPr>
        <w:t>INITIATIVE, REFERENDUM, AND RECALL</w:t>
      </w:r>
    </w:p>
    <w:p w:rsidR="00000000" w:rsidRDefault="00A325FA">
      <w:pPr>
        <w:pStyle w:val="seclink"/>
        <w:divId w:val="1142238951"/>
        <w:rPr>
          <w:rFonts w:eastAsiaTheme="minorEastAsia"/>
        </w:rPr>
      </w:pPr>
      <w:hyperlink w:history="1" w:anchor="BK_91B7F5E158AF46DB9B93EF9CEF28F8D1">
        <w:r>
          <w:rPr>
            <w:rStyle w:val="Hyperlink"/>
          </w:rPr>
          <w:t>SECTION 8.01. INITIATIVE AND REFERENDUM.</w:t>
        </w:r>
      </w:hyperlink>
    </w:p>
    <w:p w:rsidR="00000000" w:rsidRDefault="00A325FA">
      <w:pPr>
        <w:pStyle w:val="seclink"/>
        <w:divId w:val="1142238951"/>
      </w:pPr>
      <w:hyperlink w:history="1" w:anchor="BK_46400B20017B2FB9F3611C15C4B634FD">
        <w:r>
          <w:rPr>
            <w:rStyle w:val="Hyperlink"/>
          </w:rPr>
          <w:t>SEC</w:t>
        </w:r>
        <w:r>
          <w:rPr>
            <w:rStyle w:val="Hyperlink"/>
          </w:rPr>
          <w:t>TION 8.02. RECALL.</w:t>
        </w:r>
      </w:hyperlink>
    </w:p>
    <w:p w:rsidR="00000000" w:rsidRDefault="00A325FA">
      <w:pPr>
        <w:divId w:val="1142238951"/>
        <w:rPr>
          <w:rFonts w:eastAsia="Times New Roman"/>
        </w:rPr>
      </w:pPr>
      <w:r>
        <w:rPr>
          <w:rFonts w:eastAsia="Times New Roman"/>
        </w:rPr>
        <w:br/>
      </w:r>
    </w:p>
    <w:p w:rsidR="00000000" w:rsidRDefault="00A325FA">
      <w:pPr>
        <w:pStyle w:val="sec"/>
        <w:divId w:val="1142238951"/>
      </w:pPr>
      <w:bookmarkStart w:name="BK_91B7F5E158AF46DB9B93EF9CEF28F8D1" w:id="1"/>
      <w:bookmarkEnd w:id="1"/>
      <w:r>
        <w:t>SECTION 8.01.</w:t>
      </w:r>
      <w:r>
        <w:t xml:space="preserve"> </w:t>
      </w:r>
      <w:r>
        <w:t>INITIATIVE AND REFERENDUM.</w:t>
      </w:r>
    </w:p>
    <w:p w:rsidR="00000000" w:rsidRDefault="00A325FA">
      <w:pPr>
        <w:pStyle w:val="p0"/>
        <w:divId w:val="1142238951"/>
      </w:pPr>
      <w:r>
        <w:t>The electors of the county shall have the power to propose to the Board of County Commissioners passage or repeal of ordinances and to vote on the question if</w:t>
      </w:r>
      <w:r>
        <w:t xml:space="preserve"> the Board refuses action, according to the following procedure: </w:t>
      </w:r>
    </w:p>
    <w:p w:rsidR="00000000" w:rsidRDefault="00A325FA">
      <w:pPr>
        <w:pStyle w:val="list1"/>
        <w:divId w:val="1142238951"/>
      </w:pPr>
      <w:r>
        <w:t>1.</w:t>
        <w:tab/>
      </w:r>
      <w:r>
        <w:t xml:space="preserve">The person proposing the exercise of this power shall submit the proposal, including proposed ballot language to the Clerk of the Circuit Court who shall without delay approve as to form </w:t>
      </w:r>
      <w:r>
        <w:t xml:space="preserve">a petition for circulation in one or several copies as the proposer may desire. A public hearing shall be held on the proposal at the next Board of County Commissioner meeting subsequent to the date the Clerk approves the petition as to form. </w:t>
      </w:r>
    </w:p>
    <w:p w:rsidR="00000000" w:rsidRDefault="00A325FA">
      <w:pPr>
        <w:pStyle w:val="list1"/>
        <w:divId w:val="1142238951"/>
      </w:pPr>
      <w:r>
        <w:t>2.</w:t>
        <w:tab/>
      </w:r>
      <w:r>
        <w:t>The perso</w:t>
      </w:r>
      <w:r>
        <w:t>n or persons circulating the petition shall, within 120 days of the approval of the form of the petition, obtain the valid signatures of voters in the county in numbers at least equal to four percent of the registered voters in the county on the day on whi</w:t>
      </w:r>
      <w:r>
        <w:t>ch the petition is approved, according to the official records of the County Supervisor of Elections. In determining the sufficiency of the petition, no more than 25 percent of the valid signatures required shall come from voters registered in any single c</w:t>
      </w:r>
      <w:r>
        <w:t>ounty commission district. Each signer of a petition shall place thereon, after his name, the date, and his place of residence or precinct number. Each person circulating a copy of the petition shall attach to it a sworn affidavit stating the number of sig</w:t>
      </w:r>
      <w:r>
        <w:t xml:space="preserve">ners and the fact that each signature was made in the presence of the circulator of the petition. </w:t>
      </w:r>
    </w:p>
    <w:p w:rsidR="00000000" w:rsidRDefault="00A325FA">
      <w:pPr>
        <w:pStyle w:val="list1"/>
        <w:divId w:val="1142238951"/>
      </w:pPr>
      <w:r>
        <w:t>3.</w:t>
        <w:tab/>
      </w:r>
      <w:r>
        <w:t>The signed petition shall be filed with the Board which shall within 30 days order a canvass of the signatures thereon to determine the sufficiency of the</w:t>
      </w:r>
      <w:r>
        <w:t xml:space="preserve"> signatures. If the number of signatures is insufficient or the petition is deficient as to form or compliance with this Section, the Board shall notify the person filing the petition that the petition is insufficient and has failed. </w:t>
      </w:r>
    </w:p>
    <w:p w:rsidR="00000000" w:rsidRDefault="00A325FA">
      <w:pPr>
        <w:pStyle w:val="list1"/>
        <w:divId w:val="1142238951"/>
      </w:pPr>
      <w:r>
        <w:t>4.</w:t>
        <w:tab/>
      </w:r>
      <w:r>
        <w:t>The Board may with</w:t>
      </w:r>
      <w:r>
        <w:t>in 30 days after the date a sufficient petition is presented adopt the ordinance as submitted in an initiatory petition or repeal the ordinance referred to by a referendary petition. If the Board does not adopt or repeal the ordinance as provided above, th</w:t>
      </w:r>
      <w:r>
        <w:t xml:space="preserve">en the proposal shall be placed on the ballot without further action of the Board. </w:t>
      </w:r>
    </w:p>
    <w:p w:rsidR="00000000" w:rsidRDefault="00A325FA">
      <w:pPr>
        <w:pStyle w:val="list1"/>
        <w:divId w:val="1142238951"/>
      </w:pPr>
      <w:r>
        <w:t>5.</w:t>
        <w:tab/>
      </w:r>
      <w:r>
        <w:t>If the proposal is submitted to the electors, the election shall be held either:</w:t>
      </w:r>
    </w:p>
    <w:p w:rsidR="00000000" w:rsidRDefault="00A325FA">
      <w:pPr>
        <w:pStyle w:val="list2"/>
        <w:divId w:val="1142238951"/>
      </w:pPr>
      <w:r>
        <w:t>(a)</w:t>
        <w:tab/>
      </w:r>
      <w:r>
        <w:t>In the next scheduled county-wide election, or</w:t>
      </w:r>
    </w:p>
    <w:p w:rsidR="00000000" w:rsidRDefault="00A325FA">
      <w:pPr>
        <w:pStyle w:val="list2"/>
        <w:divId w:val="1142238951"/>
      </w:pPr>
      <w:r>
        <w:t>(b)</w:t>
        <w:tab/>
      </w:r>
      <w:r>
        <w:t>If the petition contains the vali</w:t>
      </w:r>
      <w:r>
        <w:t>d signatures in the county in numbers at least equal to eight percent of the registered voters in the county, the election shall take place on the first Tuesday after 120 days from certification of the petition. The result shall be determined by a majority</w:t>
      </w:r>
      <w:r>
        <w:t xml:space="preserve"> vote of the electors voting on the proposal. </w:t>
      </w:r>
    </w:p>
    <w:p w:rsidR="00000000" w:rsidRDefault="00A325FA">
      <w:pPr>
        <w:pStyle w:val="list1"/>
        <w:divId w:val="1142238951"/>
      </w:pPr>
      <w:r>
        <w:t>6.</w:t>
        <w:tab/>
      </w:r>
      <w:r>
        <w:t xml:space="preserve">An ordinance proposed by initiatory petition or the repeal of an ordinance by referendary petition shall be effective on the day after the election, except that: </w:t>
      </w:r>
    </w:p>
    <w:p w:rsidR="00000000" w:rsidRDefault="00A325FA">
      <w:pPr>
        <w:pStyle w:val="list2"/>
        <w:divId w:val="1142238951"/>
      </w:pPr>
      <w:r>
        <w:t>(a)</w:t>
        <w:tab/>
      </w:r>
      <w:r>
        <w:t>Any reduction or elimination of existin</w:t>
      </w:r>
      <w:r>
        <w:t xml:space="preserve">g revenue or any increase in expenditures not provided for by the current budget or by existing bond issues shall not take effect until the beginning of the next succeeding fiscal year; and </w:t>
      </w:r>
    </w:p>
    <w:p w:rsidR="00000000" w:rsidRDefault="00A325FA">
      <w:pPr>
        <w:pStyle w:val="list2"/>
        <w:divId w:val="1142238951"/>
      </w:pPr>
      <w:r>
        <w:t>(b)</w:t>
        <w:tab/>
      </w:r>
      <w:r>
        <w:t xml:space="preserve">Rights accumulated under an ordinance between the time a certified referendary petition against the ordinance is presented to the Board and the repeal of the ordinance by the voters, shall not be enforced against the county; and </w:t>
      </w:r>
    </w:p>
    <w:p w:rsidR="00000000" w:rsidRDefault="00A325FA">
      <w:pPr>
        <w:pStyle w:val="list2"/>
        <w:divId w:val="1142238951"/>
      </w:pPr>
      <w:r>
        <w:t>(c)</w:t>
        <w:tab/>
      </w:r>
      <w:r>
        <w:t>Should two or more ord</w:t>
      </w:r>
      <w:r>
        <w:t xml:space="preserve">inances adopted at the same election have conflicting provisions, the one receiving the highest number of votes shall prevail as to those provisions. </w:t>
      </w:r>
    </w:p>
    <w:p w:rsidR="00000000" w:rsidRDefault="00A325FA">
      <w:pPr>
        <w:pStyle w:val="list1"/>
        <w:divId w:val="1142238951"/>
      </w:pPr>
      <w:r>
        <w:t>7.</w:t>
        <w:tab/>
      </w:r>
      <w:r>
        <w:t>An ordinance adopted by the electorate through initiatory proceedings shall not be amended or repealed</w:t>
      </w:r>
      <w:r>
        <w:t xml:space="preserve"> by the Board for a period of one year after the election at which it was adopted, but thereafter it may be amended or repealed like any other ordinance. </w:t>
      </w:r>
    </w:p>
    <w:p w:rsidR="00000000" w:rsidRDefault="00A325FA">
      <w:pPr>
        <w:pStyle w:val="sec"/>
        <w:divId w:val="1142238951"/>
      </w:pPr>
      <w:bookmarkStart w:name="BK_46400B20017B2FB9F3611C15C4B634FD" w:id="2"/>
      <w:bookmarkEnd w:id="2"/>
      <w:r>
        <w:t>SECTION 8.02.</w:t>
      </w:r>
      <w:r>
        <w:t xml:space="preserve"> </w:t>
      </w:r>
      <w:r>
        <w:t>RECALL.</w:t>
      </w:r>
    </w:p>
    <w:p w:rsidR="00000000" w:rsidRDefault="00A325FA">
      <w:pPr>
        <w:pStyle w:val="p0"/>
        <w:divId w:val="1142238951"/>
      </w:pPr>
      <w:r>
        <w:t>Any member of the Board of County Commissio</w:t>
      </w:r>
      <w:r>
        <w:t>ners, the Mayor, or the Property Appraiser may be removed from office by the electors of the county, district, or municipality by which he was chosen. The procedure on a recall petition shall be identical with that for an initiatory or referendary petition</w:t>
      </w:r>
      <w:r>
        <w:t xml:space="preserve">, except that: </w:t>
      </w:r>
    </w:p>
    <w:p w:rsidR="00000000" w:rsidRDefault="00A325FA">
      <w:pPr>
        <w:pStyle w:val="list1"/>
        <w:divId w:val="1142238951"/>
      </w:pPr>
      <w:r>
        <w:t>1.</w:t>
        <w:tab/>
      </w:r>
      <w:r>
        <w:t>The Clerk of the Circuit Court shall approve the form of the petition.</w:t>
      </w:r>
    </w:p>
    <w:p w:rsidR="00000000" w:rsidRDefault="00A325FA">
      <w:pPr>
        <w:pStyle w:val="list1"/>
        <w:divId w:val="1142238951"/>
      </w:pPr>
      <w:r>
        <w:t>2.</w:t>
        <w:tab/>
      </w:r>
      <w:r>
        <w:t>The person or persons circulating the petition must obtain signatures of electors of the county, district, or municipality concerned in numbers at least equal to f</w:t>
      </w:r>
      <w:r>
        <w:t xml:space="preserve">our percent of the registered voters in the county district or municipality on the day on which the petition is approved, according to the official records of the County Supervisor of Elections. </w:t>
      </w:r>
    </w:p>
    <w:p w:rsidR="00000000" w:rsidRDefault="00A325FA">
      <w:pPr>
        <w:pStyle w:val="list1"/>
        <w:divId w:val="1142238951"/>
      </w:pPr>
      <w:r>
        <w:t>3.</w:t>
        <w:tab/>
      </w:r>
      <w:r>
        <w:t>The signed petition shall be filed with and canvassed and</w:t>
      </w:r>
      <w:r>
        <w:t xml:space="preserve"> certified by the Clerk of the Circuit Court. </w:t>
      </w:r>
    </w:p>
    <w:p w:rsidR="00000000" w:rsidRDefault="00A325FA">
      <w:pPr>
        <w:pStyle w:val="list1"/>
        <w:divId w:val="1142238951"/>
      </w:pPr>
      <w:r>
        <w:t>4.</w:t>
        <w:tab/>
      </w:r>
      <w:r>
        <w:t xml:space="preserve">The Board of County Commissioners must provide for a recall election not less than 45 nor more than 90 days after the certification of the petition. </w:t>
      </w:r>
    </w:p>
    <w:p w:rsidR="00000000" w:rsidRDefault="00A325FA">
      <w:pPr>
        <w:pStyle w:val="list1"/>
        <w:divId w:val="1142238951"/>
      </w:pPr>
      <w:r>
        <w:t>5.</w:t>
        <w:tab/>
      </w:r>
      <w:r>
        <w:t xml:space="preserve">The question of recall shall be placed on the ballot </w:t>
      </w:r>
      <w:r>
        <w:t xml:space="preserve">in a manner that will give the elector a clear choice for or against the recall. The result shall be determined by a majority vote of the electors voting on the question. </w:t>
      </w:r>
    </w:p>
    <w:p w:rsidR="00000000" w:rsidRDefault="00A325FA">
      <w:pPr>
        <w:pStyle w:val="list1"/>
        <w:divId w:val="1142238951"/>
      </w:pPr>
      <w:r>
        <w:t>6.</w:t>
        <w:tab/>
      </w:r>
      <w:r>
        <w:t xml:space="preserve">If the majority is against recall the officer shall continue in office under the </w:t>
      </w:r>
      <w:r>
        <w:t xml:space="preserve">terms of his previous election. If the majority is for recall he shall, regardless of any defect in the recall petition, be deemed removed from office immediately. </w:t>
      </w:r>
    </w:p>
    <w:p w:rsidR="00000000" w:rsidRDefault="00A325FA">
      <w:pPr>
        <w:pStyle w:val="list1"/>
        <w:divId w:val="1142238951"/>
      </w:pPr>
      <w:r>
        <w:t>7.</w:t>
        <w:tab/>
      </w:r>
      <w:r>
        <w:t>No recall petition against such an officer shall be certified within one year after he t</w:t>
      </w:r>
      <w:r>
        <w:t xml:space="preserve">akes office nor within one year after a recall petition against him is defeated. </w:t>
      </w:r>
    </w:p>
    <w:sectPr w:rsidR="00000000">
      <w:pgSz w:w="12240" w:h="15840"/>
      <w:pgMar w:top="1440" w:right="1440" w:bottom="1440" w:left="1440" w:header="720" w:footer="720" w:gutter="0"/>
      <w:cols w:space="720"/>
      <w:docGrid w:linePitch="360"/>
      <w:headerReference r:id="R9ad3518b37784813"/>
      <w:footerReference r:id="R07bf35fabef447f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325FA"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A325FA"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ARTICLE 8. INITIATIVE, REFERENDUM, AND RECALL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2210E"/>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318508">
      <w:bodyDiv w:val="1"/>
      <w:marLeft w:val="0"/>
      <w:marRight w:val="0"/>
      <w:marTop w:val="0"/>
      <w:marBottom w:val="0"/>
      <w:divBdr>
        <w:top w:val="none" w:sz="0" w:space="0" w:color="auto"/>
        <w:left w:val="none" w:sz="0" w:space="0" w:color="auto"/>
        <w:bottom w:val="none" w:sz="0" w:space="0" w:color="auto"/>
        <w:right w:val="none" w:sz="0" w:space="0" w:color="auto"/>
      </w:divBdr>
      <w:divsChild>
        <w:div w:id="1142238951">
          <w:marLeft w:val="0"/>
          <w:marRight w:val="0"/>
          <w:marTop w:val="0"/>
          <w:marBottom w:val="0"/>
          <w:divBdr>
            <w:top w:val="none" w:sz="0" w:space="0" w:color="auto"/>
            <w:left w:val="none" w:sz="0" w:space="0" w:color="auto"/>
            <w:bottom w:val="none" w:sz="0" w:space="0" w:color="auto"/>
            <w:right w:val="none" w:sz="0" w:space="0" w:color="auto"/>
          </w:divBdr>
          <w:divsChild>
            <w:div w:id="8249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level2/PTICOAMCH_ART8INRERE.docx"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book.html"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eader" Target="/word/header4.xml" Id="R9ad3518b37784813" /><Relationship Type="http://schemas.openxmlformats.org/officeDocument/2006/relationships/footer" Target="/word/footer4.xml" Id="R07bf35fabef447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A110DE-64EF-406B-ACF9-3FA9A8DD78BA}"/>
</file>

<file path=customXml/itemProps2.xml><?xml version="1.0" encoding="utf-8"?>
<ds:datastoreItem xmlns:ds="http://schemas.openxmlformats.org/officeDocument/2006/customXml" ds:itemID="{644CB8E7-0EC6-4745-BFD5-933B2E8CD3B7}"/>
</file>

<file path=customXml/itemProps3.xml><?xml version="1.0" encoding="utf-8"?>
<ds:datastoreItem xmlns:ds="http://schemas.openxmlformats.org/officeDocument/2006/customXml" ds:itemID="{4C93219D-89EF-4BE8-B89F-399229312578}"/>
</file>

<file path=docProps/app.xml><?xml version="1.0" encoding="utf-8"?>
<Properties xmlns="http://schemas.openxmlformats.org/officeDocument/2006/extended-properties" xmlns:vt="http://schemas.openxmlformats.org/officeDocument/2006/docPropsVTypes">
  <Template>Normal</Template>
  <TotalTime>3</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