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0CE7">
      <w:pPr>
        <w:pStyle w:val="Heading1"/>
        <w:divId w:val="63643442"/>
        <w:rPr>
          <w:rFonts w:eastAsia="Times New Roman"/>
        </w:rPr>
      </w:pPr>
      <w:r>
        <w:rPr>
          <w:rFonts w:eastAsia="Times New Roman"/>
        </w:rPr>
        <w:t>PART II</w:t>
      </w:r>
      <w:r>
        <w:rPr>
          <w:rFonts w:eastAsia="Times New Roman"/>
        </w:rPr>
        <w:t xml:space="preserve"> </w:t>
      </w:r>
      <w:r>
        <w:rPr>
          <w:rFonts w:eastAsia="Times New Roman"/>
        </w:rPr>
        <w:t xml:space="preserve">ACTS OF STATE LEGISLATURE </w:t>
      </w:r>
      <w:hyperlink w:history="1" w:anchor="BK_6E36A0D08C39D384DF8269B4942C282E">
        <w:r>
          <w:rPr>
            <w:rStyle w:val="Hyperlink"/>
            <w:rFonts w:eastAsia="Times New Roman"/>
            <w:vertAlign w:val="superscript"/>
          </w:rPr>
          <w:t>[1]</w:t>
        </w:r>
      </w:hyperlink>
      <w:r>
        <w:rPr>
          <w:rFonts w:eastAsia="Times New Roman"/>
        </w:rPr>
        <w:t xml:space="preserve"> </w:t>
      </w:r>
    </w:p>
    <w:p w:rsidR="00000000" w:rsidRDefault="003C0CE7">
      <w:pPr>
        <w:pStyle w:val="bc0"/>
        <w:divId w:val="63643442"/>
        <w:rPr>
          <w:rFonts w:eastAsiaTheme="minorEastAsia"/>
        </w:rPr>
      </w:pPr>
      <w:r>
        <w:rPr>
          <w:b/>
          <w:bCs/>
        </w:rPr>
        <w:t>(RESERVED)</w:t>
      </w:r>
      <w:r>
        <w:t xml:space="preserve"> </w:t>
      </w:r>
    </w:p>
    <w:p w:rsidR="00000000" w:rsidRDefault="003C0CE7">
      <w:pPr>
        <w:divId w:val="1305157000"/>
        <w:rPr>
          <w:rFonts w:eastAsia="Times New Roman"/>
        </w:rPr>
      </w:pPr>
      <w:hyperlink w:history="1" r:id="rId12">
        <w:r>
          <w:rPr>
            <w:rStyle w:val="Hyperlink"/>
            <w:rFonts w:eastAsia="Times New Roman"/>
          </w:rPr>
          <w:t>[COMPARATIVE TABLE] - HOME RULE CHARTER</w:t>
        </w:r>
      </w:hyperlink>
      <w:r>
        <w:rPr>
          <w:rFonts w:eastAsia="Times New Roman"/>
        </w:rPr>
        <w:t xml:space="preserve"> </w:t>
      </w:r>
    </w:p>
    <w:p w:rsidR="00000000" w:rsidRDefault="003C0CE7">
      <w:pPr>
        <w:divId w:val="469833311"/>
        <w:rPr>
          <w:rFonts w:eastAsia="Times New Roman"/>
        </w:rPr>
      </w:pPr>
    </w:p>
    <w:p w:rsidR="00000000" w:rsidRDefault="003C0CE7">
      <w:pPr>
        <w:divId w:val="469833311"/>
        <w:rPr>
          <w:rFonts w:eastAsia="Times New Roman"/>
        </w:rPr>
      </w:pPr>
      <w:r>
        <w:rPr>
          <w:rFonts w:eastAsia="Times New Roman"/>
        </w:rPr>
        <w:pict>
          <v:rect id="_x0000_i1025" style="width:0;height:1.5pt" o:hr="t" o:hrstd="t" o:hralign="center" fillcolor="#a0a0a0" stroked="f"/>
        </w:pict>
      </w:r>
    </w:p>
    <w:p w:rsidR="00000000" w:rsidRDefault="003C0CE7">
      <w:pPr>
        <w:pStyle w:val="b0"/>
        <w:divId w:val="469833311"/>
        <w:rPr>
          <w:rFonts w:eastAsiaTheme="minorEastAsia"/>
        </w:rPr>
      </w:pPr>
      <w:r>
        <w:t>FOOTNOTE(S):</w:t>
      </w:r>
    </w:p>
    <w:p w:rsidR="00000000" w:rsidRDefault="003C0CE7">
      <w:pPr>
        <w:divId w:val="469833311"/>
        <w:rPr>
          <w:rFonts w:eastAsia="Times New Roman"/>
        </w:rPr>
      </w:pPr>
      <w:r>
        <w:rPr>
          <w:rFonts w:eastAsia="Times New Roman"/>
        </w:rPr>
        <w:pict>
          <v:rect id="_x0000_i1026" style="width:0;height:1.5pt" o:hr="t" o:hrstd="t" o:hralign="center" fillcolor="#a0a0a0" stroked="f"/>
        </w:pict>
      </w:r>
    </w:p>
    <w:p w:rsidR="00000000" w:rsidRDefault="003C0CE7">
      <w:pPr>
        <w:pStyle w:val="refcharterfn"/>
        <w:divId w:val="1272931429"/>
        <w:rPr>
          <w:rFonts w:eastAsiaTheme="minorEastAsia"/>
        </w:rPr>
      </w:pPr>
      <w:r>
        <w:t>--- (</w:t>
      </w:r>
      <w:r>
        <w:rPr>
          <w:b/>
          <w:bCs/>
        </w:rPr>
        <w:t>1</w:t>
      </w:r>
      <w:r>
        <w:t xml:space="preserve">) --- </w:t>
      </w:r>
    </w:p>
    <w:p w:rsidR="00000000" w:rsidRDefault="003C0CE7">
      <w:pPr>
        <w:pStyle w:val="refeditorfn"/>
        <w:divId w:val="1272931429"/>
      </w:pPr>
      <w:r>
        <w:rPr>
          <w:b/>
          <w:bCs/>
        </w:rPr>
        <w:t>Editor's note—</w:t>
      </w:r>
      <w:r>
        <w:t xml:space="preserve"> Prior to the ena</w:t>
      </w:r>
      <w:r>
        <w:t xml:space="preserve">ctment of Ord. No. 73-8, adopted Feb. 6, 1973, Part II contained the Port Authority Act, being Ch. 22963, Laws of Florida, 1945, as amended. Section 2 of said Ord. No. 73-8 provides as follows: </w:t>
      </w:r>
      <w:hyperlink w:history="1" w:anchor="BK_4B48B31FBEA46D3C9AAF171978070ABC">
        <w:r>
          <w:rPr>
            <w:rStyle w:val="Hyperlink"/>
          </w:rPr>
          <w:t>(Bac</w:t>
        </w:r>
        <w:r>
          <w:rPr>
            <w:rStyle w:val="Hyperlink"/>
          </w:rPr>
          <w:t>k)</w:t>
        </w:r>
      </w:hyperlink>
    </w:p>
    <w:p w:rsidR="00000000" w:rsidRDefault="003C0CE7">
      <w:pPr>
        <w:pStyle w:val="refgenericfn"/>
        <w:divId w:val="1272931429"/>
      </w:pPr>
      <w:r>
        <w:t> </w:t>
      </w:r>
      <w:r>
        <w:t>"Section 2. With the exception of resolutions of the Board of County Commissioners, acting as Dade County Port Authority, creating or relating to bonded indebtedness or other contractual obligations of the Dade County Port Authority, all county ordinan</w:t>
      </w:r>
      <w:r>
        <w:t>ces and resolutions, including those of the Board of County Commissioners acting as Dade County Port Authority, municipal ordinances, resolutions and charters, special laws applying to this county and general laws applying only to this county or any genera</w:t>
      </w:r>
      <w:r>
        <w:t xml:space="preserve">l law which this commission is specifically authorized by the Constitution to supersede, nullify or amend, or any part of any such ordinance, resolution, charter or law, in conflict with any provision contained herein is hereby repealed." </w:t>
      </w:r>
      <w:hyperlink w:history="1" w:anchor="BK_4B48B31FBEA46D3C9AAF171978070ABC">
        <w:r>
          <w:rPr>
            <w:rStyle w:val="Hyperlink"/>
          </w:rPr>
          <w:t>(Back)</w:t>
        </w:r>
      </w:hyperlink>
    </w:p>
    <w:sectPr w:rsidR="00000000">
      <w:pgSz w:w="12240" w:h="15840"/>
      <w:pgMar w:top="1440" w:right="1440" w:bottom="1440" w:left="1440" w:header="720" w:footer="720" w:gutter="0"/>
      <w:cols w:space="720"/>
      <w:docGrid w:linePitch="360"/>
      <w:headerReference r:id="R0fc765d10cc149bd"/>
      <w:footerReference r:id="R1ace236c44ea41b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C0CE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C0CE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 ACTS OF STATE LEGISLATURE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0F2919"/>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833311">
      <w:bodyDiv w:val="1"/>
      <w:marLeft w:val="0"/>
      <w:marRight w:val="0"/>
      <w:marTop w:val="0"/>
      <w:marBottom w:val="0"/>
      <w:divBdr>
        <w:top w:val="none" w:sz="0" w:space="0" w:color="auto"/>
        <w:left w:val="none" w:sz="0" w:space="0" w:color="auto"/>
        <w:bottom w:val="none" w:sz="0" w:space="0" w:color="auto"/>
        <w:right w:val="none" w:sz="0" w:space="0" w:color="auto"/>
      </w:divBdr>
      <w:divsChild>
        <w:div w:id="63643442">
          <w:marLeft w:val="0"/>
          <w:marRight w:val="0"/>
          <w:marTop w:val="0"/>
          <w:marBottom w:val="0"/>
          <w:divBdr>
            <w:top w:val="none" w:sz="0" w:space="0" w:color="auto"/>
            <w:left w:val="none" w:sz="0" w:space="0" w:color="auto"/>
            <w:bottom w:val="none" w:sz="0" w:space="0" w:color="auto"/>
            <w:right w:val="none" w:sz="0" w:space="0" w:color="auto"/>
          </w:divBdr>
          <w:divsChild>
            <w:div w:id="1243487750">
              <w:marLeft w:val="0"/>
              <w:marRight w:val="0"/>
              <w:marTop w:val="0"/>
              <w:marBottom w:val="0"/>
              <w:divBdr>
                <w:top w:val="none" w:sz="0" w:space="0" w:color="auto"/>
                <w:left w:val="none" w:sz="0" w:space="0" w:color="auto"/>
                <w:bottom w:val="none" w:sz="0" w:space="0" w:color="auto"/>
                <w:right w:val="none" w:sz="0" w:space="0" w:color="auto"/>
              </w:divBdr>
            </w:div>
            <w:div w:id="1305157000">
              <w:marLeft w:val="0"/>
              <w:marRight w:val="0"/>
              <w:marTop w:val="0"/>
              <w:marBottom w:val="0"/>
              <w:divBdr>
                <w:top w:val="none" w:sz="0" w:space="0" w:color="auto"/>
                <w:left w:val="none" w:sz="0" w:space="0" w:color="auto"/>
                <w:bottom w:val="none" w:sz="0" w:space="0" w:color="auto"/>
                <w:right w:val="none" w:sz="0" w:space="0" w:color="auto"/>
              </w:divBdr>
            </w:div>
          </w:divsChild>
        </w:div>
        <w:div w:id="1272931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level2/PTIIACSTLE_COMPARATIVE_TABLEHORUCH.docx"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ACSTLE.docx"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book.html"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eader" Target="/word/header4.xml" Id="R0fc765d10cc149bd" /><Relationship Type="http://schemas.openxmlformats.org/officeDocument/2006/relationships/footer" Target="/word/footer4.xml" Id="R1ace236c44ea41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AFCCF9-104D-4A2A-A924-F960F01F8D06}"/>
</file>

<file path=customXml/itemProps2.xml><?xml version="1.0" encoding="utf-8"?>
<ds:datastoreItem xmlns:ds="http://schemas.openxmlformats.org/officeDocument/2006/customXml" ds:itemID="{D9DC62A3-E8AA-4A6F-B11F-E58D966650BD}"/>
</file>

<file path=customXml/itemProps3.xml><?xml version="1.0" encoding="utf-8"?>
<ds:datastoreItem xmlns:ds="http://schemas.openxmlformats.org/officeDocument/2006/customXml" ds:itemID="{26C3B5D9-361B-4D0E-BF58-92638E0984A7}"/>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