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602E5">
      <w:pPr>
        <w:pStyle w:val="Heading2"/>
        <w:divId w:val="565798872"/>
        <w:rPr>
          <w:rFonts w:eastAsia="Times New Roman"/>
        </w:rPr>
      </w:pPr>
      <w:r>
        <w:rPr>
          <w:rFonts w:eastAsia="Times New Roman"/>
        </w:rPr>
        <w:t>Chapter 25B</w:t>
      </w:r>
      <w:r>
        <w:rPr>
          <w:rFonts w:eastAsia="Times New Roman"/>
        </w:rPr>
        <w:t xml:space="preserve"> </w:t>
      </w:r>
      <w:r>
        <w:rPr>
          <w:rFonts w:eastAsia="Times New Roman"/>
        </w:rPr>
        <w:t xml:space="preserve">PARKS AND RECREATION GENERALLY </w:t>
      </w:r>
      <w:hyperlink w:history="1" w:anchor="BK_3B99E146E0BFEF46DCFEB6BEA3CED8B8">
        <w:r>
          <w:rPr>
            <w:rStyle w:val="Hyperlink"/>
            <w:rFonts w:eastAsia="Times New Roman"/>
            <w:vertAlign w:val="superscript"/>
          </w:rPr>
          <w:t>[1]</w:t>
        </w:r>
      </w:hyperlink>
      <w:r>
        <w:rPr>
          <w:rFonts w:eastAsia="Times New Roman"/>
        </w:rPr>
        <w:t xml:space="preserve"> </w:t>
      </w:r>
    </w:p>
    <w:p w:rsidR="00000000" w:rsidRDefault="005602E5">
      <w:pPr>
        <w:divId w:val="1920014370"/>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5602E5">
      <w:pPr>
        <w:divId w:val="1318267762"/>
        <w:rPr>
          <w:rFonts w:eastAsia="Times New Roman"/>
        </w:rPr>
      </w:pPr>
      <w:hyperlink w:history="1" r:id="rId14">
        <w:r>
          <w:rPr>
            <w:rStyle w:val="Hyperlink"/>
            <w:rFonts w:eastAsia="Times New Roman"/>
          </w:rPr>
          <w:t xml:space="preserve">ARTICLE II. - STANDARDS FOR ACCEPTANCE OF CONVEYANCES USED FOR SCENIC OUTDOOR RECREATIONAL OR PARK PURPOSES OR COVENANTS NOT TO USE LAND FOR OTHER THAN SUCH PURPOSES </w:t>
        </w:r>
      </w:hyperlink>
    </w:p>
    <w:p w:rsidR="00000000" w:rsidRDefault="005602E5">
      <w:pPr>
        <w:divId w:val="1117024225"/>
        <w:rPr>
          <w:rFonts w:eastAsia="Times New Roman"/>
        </w:rPr>
      </w:pPr>
      <w:hyperlink w:history="1" r:id="rId15">
        <w:r>
          <w:rPr>
            <w:rStyle w:val="Hyperlink"/>
            <w:rFonts w:eastAsia="Times New Roman"/>
          </w:rPr>
          <w:t xml:space="preserve">ARTICLE III. - SAFE NEIGHBORHOOD PARKS ORDINANCE </w:t>
        </w:r>
      </w:hyperlink>
    </w:p>
    <w:p w:rsidR="00000000" w:rsidRDefault="005602E5">
      <w:pPr>
        <w:divId w:val="652417829"/>
        <w:rPr>
          <w:rFonts w:eastAsia="Times New Roman"/>
        </w:rPr>
      </w:pPr>
    </w:p>
    <w:p w:rsidR="00000000" w:rsidRDefault="005602E5">
      <w:pPr>
        <w:divId w:val="652417829"/>
        <w:rPr>
          <w:rFonts w:eastAsia="Times New Roman"/>
        </w:rPr>
      </w:pPr>
      <w:r>
        <w:rPr>
          <w:rFonts w:eastAsia="Times New Roman"/>
        </w:rPr>
        <w:pict>
          <v:rect id="_x0000_i1025" style="width:0;height:1.5pt" o:hr="t" o:hrstd="t" o:hralign="center" fillcolor="#a0a0a0" stroked="f"/>
        </w:pict>
      </w:r>
    </w:p>
    <w:p w:rsidR="00000000" w:rsidRDefault="005602E5">
      <w:pPr>
        <w:pStyle w:val="b0"/>
        <w:divId w:val="652417829"/>
        <w:rPr>
          <w:rFonts w:eastAsiaTheme="minorEastAsia"/>
        </w:rPr>
      </w:pPr>
      <w:r>
        <w:t>FOOTNOTE(S):</w:t>
      </w:r>
    </w:p>
    <w:p w:rsidR="00000000" w:rsidRDefault="005602E5">
      <w:pPr>
        <w:divId w:val="652417829"/>
        <w:rPr>
          <w:rFonts w:eastAsia="Times New Roman"/>
        </w:rPr>
      </w:pPr>
      <w:r>
        <w:rPr>
          <w:rFonts w:eastAsia="Times New Roman"/>
        </w:rPr>
        <w:pict>
          <v:rect id="_x0000_i1026" style="width:0;height:1.5pt" o:hr="t" o:hrstd="t" o:hralign="center" fillcolor="#a0a0a0" stroked="f"/>
        </w:pict>
      </w:r>
    </w:p>
    <w:p w:rsidR="00000000" w:rsidRDefault="005602E5">
      <w:pPr>
        <w:pStyle w:val="refcharterfn"/>
        <w:divId w:val="1916821752"/>
        <w:rPr>
          <w:rFonts w:eastAsiaTheme="minorEastAsia"/>
        </w:rPr>
      </w:pPr>
      <w:r>
        <w:t>--- (</w:t>
      </w:r>
      <w:r>
        <w:rPr>
          <w:b/>
          <w:bCs/>
        </w:rPr>
        <w:t>1</w:t>
      </w:r>
      <w:r>
        <w:t xml:space="preserve">) --- </w:t>
      </w:r>
    </w:p>
    <w:p w:rsidR="00000000" w:rsidRDefault="005602E5">
      <w:pPr>
        <w:pStyle w:val="refcrossfn"/>
        <w:divId w:val="1916821752"/>
      </w:pPr>
      <w:r>
        <w:rPr>
          <w:b/>
          <w:bCs/>
        </w:rPr>
        <w:t xml:space="preserve">Cross reference— </w:t>
      </w:r>
      <w:r>
        <w:t>Parks and Recreation Department, § 2-85 et seq.; Parks and Recreation Department</w:t>
      </w:r>
      <w:r>
        <w:t xml:space="preserve"> rules and regulations, Ch. 26.</w:t>
      </w:r>
      <w:hyperlink w:history="1" w:anchor="BK_88F3D63F323F2C44E25B64C5F6014607">
        <w:r>
          <w:rPr>
            <w:rStyle w:val="Hyperlink"/>
          </w:rPr>
          <w:t xml:space="preserve"> (Back)</w:t>
        </w:r>
      </w:hyperlink>
    </w:p>
    <w:p w:rsidR="00000000" w:rsidRDefault="005602E5">
      <w:pPr>
        <w:pStyle w:val="Heading3"/>
        <w:divId w:val="478308319"/>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5602E5">
      <w:pPr>
        <w:pStyle w:val="seclink"/>
        <w:divId w:val="478308319"/>
        <w:rPr>
          <w:rFonts w:eastAsiaTheme="minorEastAsia"/>
        </w:rPr>
      </w:pPr>
      <w:hyperlink w:history="1" w:anchor="BK_EFC3699ED8E083068FF2FB32578B871A">
        <w:r>
          <w:rPr>
            <w:rStyle w:val="Hyperlink"/>
          </w:rPr>
          <w:t>Secs. 25B-1—25B-10. Reserved.</w:t>
        </w:r>
      </w:hyperlink>
    </w:p>
    <w:p w:rsidR="00000000" w:rsidRDefault="005602E5">
      <w:pPr>
        <w:divId w:val="478308319"/>
        <w:rPr>
          <w:rFonts w:eastAsia="Times New Roman"/>
        </w:rPr>
      </w:pPr>
      <w:r>
        <w:rPr>
          <w:rFonts w:eastAsia="Times New Roman"/>
        </w:rPr>
        <w:br/>
      </w:r>
    </w:p>
    <w:p w:rsidR="00000000" w:rsidRDefault="005602E5">
      <w:pPr>
        <w:pStyle w:val="sec"/>
        <w:divId w:val="478308319"/>
      </w:pPr>
      <w:bookmarkStart w:name="BK_EFC3699ED8E083068FF2FB32578B871A" w:id="1"/>
      <w:bookmarkEnd w:id="1"/>
      <w:r>
        <w:t>Secs. 25B-1</w:t>
      </w:r>
      <w:r>
        <w:t>—25B-10.</w:t>
      </w:r>
      <w:r>
        <w:t xml:space="preserve"> </w:t>
      </w:r>
      <w:r>
        <w:t>Reserved.</w:t>
      </w:r>
    </w:p>
    <w:p w:rsidR="00000000" w:rsidRDefault="005602E5">
      <w:pPr>
        <w:pStyle w:val="Heading3"/>
        <w:divId w:val="1798449419"/>
        <w:rPr>
          <w:rFonts w:eastAsia="Times New Roman"/>
        </w:rPr>
      </w:pPr>
      <w:r>
        <w:rPr>
          <w:rFonts w:eastAsia="Times New Roman"/>
        </w:rPr>
        <w:t>ARTICLE II.</w:t>
      </w:r>
      <w:r>
        <w:rPr>
          <w:rFonts w:eastAsia="Times New Roman"/>
        </w:rPr>
        <w:t xml:space="preserve"> </w:t>
      </w:r>
      <w:r>
        <w:rPr>
          <w:rFonts w:eastAsia="Times New Roman"/>
        </w:rPr>
        <w:t xml:space="preserve">STANDARDS FOR ACCEPTANCE OF CONVEYANCES USED FOR SCENIC OUTDOOR RECREATIONAL OR PARK PURPOSES OR COVENANTS NOT TO USE LAND FOR OTHER THAN SUCH PURPOSES </w:t>
      </w:r>
      <w:hyperlink w:history="1" w:anchor="BK_B228BA7BB928DC61179DF1BDDE281DB0">
        <w:r>
          <w:rPr>
            <w:rStyle w:val="Hyperlink"/>
            <w:rFonts w:eastAsia="Times New Roman"/>
            <w:vertAlign w:val="superscript"/>
          </w:rPr>
          <w:t>[2]</w:t>
        </w:r>
      </w:hyperlink>
      <w:r>
        <w:rPr>
          <w:rFonts w:eastAsia="Times New Roman"/>
        </w:rPr>
        <w:t xml:space="preserve"> </w:t>
      </w:r>
    </w:p>
    <w:p w:rsidR="00000000" w:rsidRDefault="005602E5">
      <w:pPr>
        <w:pStyle w:val="seclink"/>
        <w:divId w:val="1798449419"/>
        <w:rPr>
          <w:rFonts w:eastAsiaTheme="minorEastAsia"/>
        </w:rPr>
      </w:pPr>
      <w:hyperlink w:history="1" w:anchor="BK_F957BBC404B27BA6A0AD720878BF2D11">
        <w:r>
          <w:rPr>
            <w:rStyle w:val="Hyperlink"/>
          </w:rPr>
          <w:t>Sec. 25B-11. Legislative intent, findings and purposes.</w:t>
        </w:r>
      </w:hyperlink>
    </w:p>
    <w:p w:rsidR="00000000" w:rsidRDefault="005602E5">
      <w:pPr>
        <w:pStyle w:val="seclink"/>
        <w:divId w:val="1798449419"/>
      </w:pPr>
      <w:hyperlink w:history="1" w:anchor="BK_A204CB93CBF8FDE7864DD0914B59F121">
        <w:r>
          <w:rPr>
            <w:rStyle w:val="Hyperlink"/>
          </w:rPr>
          <w:t>Sec. 25B-12. Option of owners in fee to convey development right or covenant with Board for sp</w:t>
        </w:r>
        <w:r>
          <w:rPr>
            <w:rStyle w:val="Hyperlink"/>
          </w:rPr>
          <w:t>ecified term of years.</w:t>
        </w:r>
      </w:hyperlink>
    </w:p>
    <w:p w:rsidR="00000000" w:rsidRDefault="005602E5">
      <w:pPr>
        <w:pStyle w:val="seclink"/>
        <w:divId w:val="1798449419"/>
      </w:pPr>
      <w:hyperlink w:history="1" w:anchor="BK_A8664BB94A1994CF53EC77F7ECACD18C">
        <w:r>
          <w:rPr>
            <w:rStyle w:val="Hyperlink"/>
          </w:rPr>
          <w:t>Sec. 25B-13. Provisions of conveyance of development right or covenant.</w:t>
        </w:r>
      </w:hyperlink>
    </w:p>
    <w:p w:rsidR="00000000" w:rsidRDefault="005602E5">
      <w:pPr>
        <w:pStyle w:val="seclink"/>
        <w:divId w:val="1798449419"/>
      </w:pPr>
      <w:hyperlink w:history="1" w:anchor="BK_DBA61AE693F87CCB62913A52D8859314">
        <w:r>
          <w:rPr>
            <w:rStyle w:val="Hyperlink"/>
          </w:rPr>
          <w:t>Sec. 25B-14. Review of instrument by appropriate County department.</w:t>
        </w:r>
      </w:hyperlink>
    </w:p>
    <w:p w:rsidR="00000000" w:rsidRDefault="005602E5">
      <w:pPr>
        <w:pStyle w:val="seclink"/>
        <w:divId w:val="1798449419"/>
      </w:pPr>
      <w:hyperlink w:history="1" w:anchor="BK_FAAF3F1F23BF643BA10DBF99DE6EC001">
        <w:r>
          <w:rPr>
            <w:rStyle w:val="Hyperlink"/>
          </w:rPr>
          <w:t>Sec. 25B-15. Board may accept instrument by resolution; filing of instrument and resolution.</w:t>
        </w:r>
      </w:hyperlink>
    </w:p>
    <w:p w:rsidR="00000000" w:rsidRDefault="005602E5">
      <w:pPr>
        <w:pStyle w:val="seclink"/>
        <w:divId w:val="1798449419"/>
      </w:pPr>
      <w:hyperlink w:history="1" w:anchor="BK_C954A700D103B050226854CA84538F22">
        <w:r>
          <w:rPr>
            <w:rStyle w:val="Hyperlink"/>
          </w:rPr>
          <w:t>Sec. 25B-16. Assessment of lands which are subject of conveyance or covenant.</w:t>
        </w:r>
      </w:hyperlink>
    </w:p>
    <w:p w:rsidR="00000000" w:rsidRDefault="005602E5">
      <w:pPr>
        <w:pStyle w:val="seclink"/>
        <w:divId w:val="1798449419"/>
      </w:pPr>
      <w:hyperlink w:history="1" w:anchor="BK_6055ACE02F010741BD09D3D03F351A8E">
        <w:r>
          <w:rPr>
            <w:rStyle w:val="Hyperlink"/>
          </w:rPr>
          <w:t>Sec. 25B-17. Reconveyance of development rights or release of owner from terms of covenant; payment</w:t>
        </w:r>
        <w:r>
          <w:rPr>
            <w:rStyle w:val="Hyperlink"/>
          </w:rPr>
          <w:t xml:space="preserve"> of deferred tax liability.</w:t>
        </w:r>
      </w:hyperlink>
    </w:p>
    <w:p w:rsidR="00000000" w:rsidRDefault="005602E5">
      <w:pPr>
        <w:pStyle w:val="seclink"/>
        <w:divId w:val="1798449419"/>
      </w:pPr>
      <w:hyperlink w:history="1" w:anchor="BK_3D1449A56A99BB17C129729B0DF12A36">
        <w:r>
          <w:rPr>
            <w:rStyle w:val="Hyperlink"/>
          </w:rPr>
          <w:t>Sec. 25B-18. Definitions.</w:t>
        </w:r>
      </w:hyperlink>
    </w:p>
    <w:p w:rsidR="00000000" w:rsidRDefault="005602E5">
      <w:pPr>
        <w:pStyle w:val="seclink"/>
        <w:divId w:val="1798449419"/>
      </w:pPr>
      <w:hyperlink w:history="1" w:anchor="BK_A0F5F81E7BE2C308814CE57EFD93B527">
        <w:r>
          <w:rPr>
            <w:rStyle w:val="Hyperlink"/>
          </w:rPr>
          <w:t>Sec. 25B-19. Savings clause.</w:t>
        </w:r>
      </w:hyperlink>
    </w:p>
    <w:p w:rsidR="00000000" w:rsidRDefault="005602E5">
      <w:pPr>
        <w:divId w:val="1798449419"/>
        <w:rPr>
          <w:rFonts w:eastAsia="Times New Roman"/>
        </w:rPr>
      </w:pPr>
      <w:r>
        <w:rPr>
          <w:rFonts w:eastAsia="Times New Roman"/>
        </w:rPr>
        <w:br/>
      </w:r>
    </w:p>
    <w:p w:rsidR="00000000" w:rsidRDefault="005602E5">
      <w:pPr>
        <w:pStyle w:val="sec"/>
        <w:divId w:val="1798449419"/>
      </w:pPr>
      <w:bookmarkStart w:name="BK_F957BBC404B27BA6A0AD720878BF2D11" w:id="2"/>
      <w:bookmarkEnd w:id="2"/>
      <w:r>
        <w:t>Sec. 25B-11.</w:t>
      </w:r>
      <w:r>
        <w:t xml:space="preserve"> </w:t>
      </w:r>
      <w:r>
        <w:t>Legislative intent, findings and purposes.</w:t>
      </w:r>
    </w:p>
    <w:p w:rsidR="00000000" w:rsidRDefault="005602E5">
      <w:pPr>
        <w:pStyle w:val="list0"/>
        <w:divId w:val="1798449419"/>
      </w:pPr>
      <w:r>
        <w:t>(a)</w:t>
        <w:tab/>
      </w:r>
      <w:r>
        <w:t>Outdoor recreational and park lands, lands qualified as environmentally endangered, and land and water areas containing animals or vegetation native to Miami-Dade County, Florida, are valued natural and ecolog</w:t>
      </w:r>
      <w:r>
        <w:t>ical resources. Such lands and water areas provide needed open spaces for clean-air sheds, as well as for scenic, aesthetic, and conservation purposes. Such lands are under urban pressure from expanding metropolitan areas. This urban pressure takes the for</w:t>
      </w:r>
      <w:r>
        <w:t>m of scattered development in wide belts around urban areas, and brings conflicting land uses into juxtaposition, creates high costs for public services and stimulates land speculation. The intent of the Commission is to provide a means by which outdoor re</w:t>
      </w:r>
      <w:r>
        <w:t>creational land, environmentally endangered land, and land and water areas containing native animals or vegetation may be protected and enhanced as resources of major importance. The Legislature of the State of Florida has recognized and has granted the au</w:t>
      </w:r>
      <w:r>
        <w:t xml:space="preserve">thority to communities within the State to adopt such a procedure. This article is declared to be a proper and necessary exercise of the aforesaid powers. </w:t>
      </w:r>
    </w:p>
    <w:p w:rsidR="00000000" w:rsidRDefault="005602E5">
      <w:pPr>
        <w:pStyle w:val="list0"/>
        <w:divId w:val="1798449419"/>
      </w:pPr>
      <w:r>
        <w:t>(b)</w:t>
        <w:tab/>
      </w:r>
      <w:r>
        <w:t>The statements heretofore made are declared to be the Legislative intent, findings, and purposes</w:t>
      </w:r>
      <w:r>
        <w:t xml:space="preserve"> of the Board of County Commissioners and are hereby adopted and made a part hereof. </w:t>
      </w:r>
    </w:p>
    <w:p w:rsidR="00000000" w:rsidRDefault="005602E5">
      <w:pPr>
        <w:pStyle w:val="historynote"/>
        <w:divId w:val="1798449419"/>
      </w:pPr>
      <w:r>
        <w:t xml:space="preserve">(Ord. No. 75-33, § 1, 5-21-75; Ord. No. 79-105, § 1, 12-4-79) </w:t>
      </w:r>
    </w:p>
    <w:p w:rsidR="00000000" w:rsidRDefault="005602E5">
      <w:pPr>
        <w:pStyle w:val="sec"/>
        <w:divId w:val="1798449419"/>
      </w:pPr>
      <w:bookmarkStart w:name="BK_A204CB93CBF8FDE7864DD0914B59F121" w:id="3"/>
      <w:bookmarkEnd w:id="3"/>
      <w:r>
        <w:t>Sec. 25B-12.</w:t>
      </w:r>
      <w:r>
        <w:t xml:space="preserve"> </w:t>
      </w:r>
      <w:r>
        <w:t>Option of owners in fee to convey development right or cov</w:t>
      </w:r>
      <w:r>
        <w:t>enant with Board for specified term of years.</w:t>
      </w:r>
    </w:p>
    <w:p w:rsidR="00000000" w:rsidRDefault="005602E5">
      <w:pPr>
        <w:pStyle w:val="list0"/>
        <w:divId w:val="1798449419"/>
      </w:pPr>
      <w:r>
        <w:t>(a)</w:t>
        <w:tab/>
      </w:r>
      <w:r>
        <w:t>The owner or owners in fee of any land or water area containing at least five (5) acres and located within Miami-Dade County, Florida, which either qualifies as environmentally endangered and is so designat</w:t>
      </w:r>
      <w:r>
        <w:t xml:space="preserve">ed by the Board, or which is utilized for outdoor recreational or park purposes, may by appropriate instrument for a specific term of not less than ten (10) years: </w:t>
      </w:r>
    </w:p>
    <w:p w:rsidR="00000000" w:rsidRDefault="005602E5">
      <w:pPr>
        <w:pStyle w:val="list1"/>
        <w:divId w:val="1798449419"/>
      </w:pPr>
      <w:r>
        <w:t>(1)</w:t>
        <w:tab/>
      </w:r>
      <w:r>
        <w:t>Convey the development rights in said land to the Board; or</w:t>
      </w:r>
    </w:p>
    <w:p w:rsidR="00000000" w:rsidRDefault="005602E5">
      <w:pPr>
        <w:pStyle w:val="list1"/>
        <w:divId w:val="1798449419"/>
      </w:pPr>
      <w:r>
        <w:t>(2)</w:t>
        <w:tab/>
      </w:r>
      <w:r>
        <w:t>Covenant with the Board</w:t>
      </w:r>
      <w:r>
        <w:t xml:space="preserve"> that the said land shall be maintained in its present natural state and be subject to one (1) or more conservation restrictions if necessary to maintain such present state, or shall not be used for any purpose other than outdoor recreational or park purpo</w:t>
      </w:r>
      <w:r>
        <w:t xml:space="preserve">ses. </w:t>
      </w:r>
    </w:p>
    <w:p w:rsidR="00000000" w:rsidRDefault="005602E5">
      <w:pPr>
        <w:pStyle w:val="list0"/>
        <w:divId w:val="1798449419"/>
      </w:pPr>
      <w:r>
        <w:t>(b)</w:t>
        <w:tab/>
      </w:r>
      <w:r>
        <w:t>Notwithstanding the requirement of a minimum of a five-acre area set forth in subsection (a) above, any land or water area containing less than five (5) acres may qualify for the provisions of this article and subsection (a) above if such land or</w:t>
      </w:r>
      <w:r>
        <w:t xml:space="preserve"> water area qualifies as environmentally endangered and is so designated by the Department of Environmental Resources Management prior to being considered by the Board. </w:t>
      </w:r>
    </w:p>
    <w:p w:rsidR="00000000" w:rsidRDefault="005602E5">
      <w:pPr>
        <w:pStyle w:val="list0"/>
        <w:divId w:val="1798449419"/>
      </w:pPr>
      <w:r>
        <w:t>(c)</w:t>
        <w:tab/>
      </w:r>
      <w:r>
        <w:t>The action by the owner to convey the development right or execute a covenant purs</w:t>
      </w:r>
      <w:r>
        <w:t>uant to this article, or to obtain a written instrument from the Board reconveying all or part of the development right to the owner or releasing the owner from the terms of the covenant, shall be by unanimous written consent if more than one (1) owner hol</w:t>
      </w:r>
      <w:r>
        <w:t xml:space="preserve">ds fee simple title to the land subject to the conveyance or covenant. All mortgagees holding a mortgage on the subject property must join in the conveyance or covenant. </w:t>
      </w:r>
    </w:p>
    <w:p w:rsidR="00000000" w:rsidRDefault="005602E5">
      <w:pPr>
        <w:pStyle w:val="historynote"/>
        <w:divId w:val="1798449419"/>
      </w:pPr>
      <w:r>
        <w:t xml:space="preserve">(Ord. No. 75-33, § 2, 5-21-75; Ord. No. 79-105, § 1, 12-4-79) </w:t>
      </w:r>
    </w:p>
    <w:p w:rsidR="00000000" w:rsidRDefault="005602E5">
      <w:pPr>
        <w:pStyle w:val="sec"/>
        <w:divId w:val="1798449419"/>
      </w:pPr>
      <w:bookmarkStart w:name="BK_A8664BB94A1994CF53EC77F7ECACD18C" w:id="4"/>
      <w:bookmarkEnd w:id="4"/>
      <w:r>
        <w:t>Sec. 25B-13.</w:t>
      </w:r>
      <w:r>
        <w:t xml:space="preserve"> </w:t>
      </w:r>
      <w:r>
        <w:t>Provisions of conveyance of development right or covenant.</w:t>
      </w:r>
    </w:p>
    <w:p w:rsidR="00000000" w:rsidRDefault="005602E5">
      <w:pPr>
        <w:pStyle w:val="p0"/>
        <w:divId w:val="1798449419"/>
      </w:pPr>
      <w:r>
        <w:t xml:space="preserve">The conveyance of the development right or covenant shall expressly provide the following: </w:t>
      </w:r>
    </w:p>
    <w:p w:rsidR="00000000" w:rsidRDefault="005602E5">
      <w:pPr>
        <w:pStyle w:val="list1"/>
        <w:divId w:val="1798449419"/>
      </w:pPr>
      <w:r>
        <w:t>(a)</w:t>
        <w:tab/>
      </w:r>
      <w:r>
        <w:t>That the County through its authorized agents shall have the right, upon w</w:t>
      </w:r>
      <w:r>
        <w:t>ritten notification to the owner, to inspect the premises at a reasonable time to determine whether the land is being used or maintained in the manner promised by the owner and as permitted by this article. Where a determination is made by the County after</w:t>
      </w:r>
      <w:r>
        <w:t xml:space="preserve"> such inspection that some curative action on the land is necessary in order to preserve the terms of the covenant or conveyance, the County shall notify the owner in writing by certified mail, return receipt requested, of the particular curative action to</w:t>
      </w:r>
      <w:r>
        <w:t xml:space="preserve"> be taken and the reasons therefor. The owner shall have the right to appeal such proposed action to the Board by filing a written objection with the Clerk of the Board within thirty (30) days after receipt of the written notification of proposed curative </w:t>
      </w:r>
      <w:r>
        <w:t xml:space="preserve">action and reasons therefor. </w:t>
      </w:r>
    </w:p>
    <w:p w:rsidR="00000000" w:rsidRDefault="005602E5">
      <w:pPr>
        <w:pStyle w:val="list1"/>
        <w:divId w:val="1798449419"/>
      </w:pPr>
      <w:r>
        <w:t>(b)</w:t>
        <w:tab/>
      </w:r>
      <w:r>
        <w:t xml:space="preserve">That land used for outdoor recreational or park purposes under this article shall be open to the general public. </w:t>
      </w:r>
    </w:p>
    <w:p w:rsidR="00000000" w:rsidRDefault="005602E5">
      <w:pPr>
        <w:pStyle w:val="list1"/>
        <w:divId w:val="1798449419"/>
      </w:pPr>
      <w:r>
        <w:t>(c)</w:t>
        <w:tab/>
      </w:r>
      <w:r>
        <w:t xml:space="preserve">That the owner shall indemnify and hold Miami-Dade County harmless from any and all </w:t>
      </w:r>
      <w:r>
        <w:t xml:space="preserve">liability or claims arising out of the public access to the land permitted by the above subsection (b). </w:t>
      </w:r>
    </w:p>
    <w:p w:rsidR="00000000" w:rsidRDefault="005602E5">
      <w:pPr>
        <w:pStyle w:val="historynote"/>
        <w:divId w:val="1798449419"/>
      </w:pPr>
      <w:r>
        <w:t xml:space="preserve">(Ord. No. 75-33, § 3, 5-21-75; Ord. No. 79-105, § 1, 12-4-79) </w:t>
      </w:r>
    </w:p>
    <w:p w:rsidR="00000000" w:rsidRDefault="005602E5">
      <w:pPr>
        <w:pStyle w:val="sec"/>
        <w:divId w:val="1798449419"/>
      </w:pPr>
      <w:bookmarkStart w:name="BK_DBA61AE693F87CCB62913A52D8859314" w:id="5"/>
      <w:bookmarkEnd w:id="5"/>
      <w:r>
        <w:t>Sec. 25B-14.</w:t>
      </w:r>
      <w:r>
        <w:t xml:space="preserve"> </w:t>
      </w:r>
      <w:r>
        <w:t>Review of instrument by appropriate Cou</w:t>
      </w:r>
      <w:r>
        <w:t>nty department.</w:t>
      </w:r>
    </w:p>
    <w:p w:rsidR="00000000" w:rsidRDefault="005602E5">
      <w:pPr>
        <w:pStyle w:val="list0"/>
        <w:divId w:val="1798449419"/>
      </w:pPr>
      <w:r>
        <w:t>(a)</w:t>
        <w:tab/>
      </w:r>
      <w:r>
        <w:t>Upon receipt of a proposed covenant or conveyance concerning outdoor recreational or park land the Park and Recreation Department shall review same and make recommendations to the Board as to whether the land is used for and meets the c</w:t>
      </w:r>
      <w:r>
        <w:t xml:space="preserve">riteria of outdoor recreational or park purposes as defined in this article. </w:t>
      </w:r>
    </w:p>
    <w:p w:rsidR="00000000" w:rsidRDefault="005602E5">
      <w:pPr>
        <w:pStyle w:val="list0"/>
        <w:divId w:val="1798449419"/>
      </w:pPr>
      <w:r>
        <w:t>(b)</w:t>
        <w:tab/>
      </w:r>
      <w:r>
        <w:t xml:space="preserve">Upon receipt of a proposed covenant or conveyance concerning environmentally endangered land, the Department of Environmental Resources Management shall review same and make </w:t>
      </w:r>
      <w:r>
        <w:t xml:space="preserve">recommendations to the Board as to whether the land qualifies as environmentally endangered as defined in this article and as to what conservation restrictions, if any, should be imposed on the land and its owner. </w:t>
      </w:r>
    </w:p>
    <w:p w:rsidR="00000000" w:rsidRDefault="005602E5">
      <w:pPr>
        <w:pStyle w:val="historynote"/>
        <w:divId w:val="1798449419"/>
      </w:pPr>
      <w:r>
        <w:t>(Ord. No. 75-33, § 4, 5-21-75; Ord. No. 7</w:t>
      </w:r>
      <w:r>
        <w:t xml:space="preserve">9-105, § 1, 12-4-79) </w:t>
      </w:r>
    </w:p>
    <w:p w:rsidR="00000000" w:rsidRDefault="005602E5">
      <w:pPr>
        <w:pStyle w:val="sec"/>
        <w:divId w:val="1798449419"/>
      </w:pPr>
      <w:bookmarkStart w:name="BK_FAAF3F1F23BF643BA10DBF99DE6EC001" w:id="6"/>
      <w:bookmarkEnd w:id="6"/>
      <w:r>
        <w:t>Sec. 25B-15.</w:t>
      </w:r>
      <w:r>
        <w:t xml:space="preserve"> </w:t>
      </w:r>
      <w:r>
        <w:t>Board may accept instrument by resolution; filing of instrument and resolution.</w:t>
      </w:r>
    </w:p>
    <w:p w:rsidR="00000000" w:rsidRDefault="005602E5">
      <w:pPr>
        <w:pStyle w:val="p0"/>
        <w:divId w:val="1798449419"/>
      </w:pPr>
      <w:r>
        <w:t xml:space="preserve">The Board, in its discretion, may accept by resolution any instrument conveying the development right or </w:t>
      </w:r>
      <w:r>
        <w:t>establishing a covenant pursuant to the provisions of this article. If accepted, the instrument, together with a certified copy of the resolution of acceptance, shall be promptly filed with the appropriate officer for recording in the same manner as any ot</w:t>
      </w:r>
      <w:r>
        <w:t xml:space="preserve">her instrument affecting title to real property. </w:t>
      </w:r>
    </w:p>
    <w:p w:rsidR="00000000" w:rsidRDefault="005602E5">
      <w:pPr>
        <w:pStyle w:val="historynote"/>
        <w:divId w:val="1798449419"/>
      </w:pPr>
      <w:r>
        <w:t xml:space="preserve">(Ord. No. 75-33, § 5, 5-21-75; Ord. No. 79-105, § 1, 12-4-79) </w:t>
      </w:r>
    </w:p>
    <w:p w:rsidR="00000000" w:rsidRDefault="005602E5">
      <w:pPr>
        <w:pStyle w:val="sec"/>
        <w:divId w:val="1798449419"/>
      </w:pPr>
      <w:bookmarkStart w:name="BK_C954A700D103B050226854CA84538F22" w:id="7"/>
      <w:bookmarkEnd w:id="7"/>
      <w:r>
        <w:t>Sec. 25B-16.</w:t>
      </w:r>
      <w:r>
        <w:t xml:space="preserve"> </w:t>
      </w:r>
      <w:r>
        <w:t>Assessment of lands which are subject of conveyance or covenant.</w:t>
      </w:r>
    </w:p>
    <w:p w:rsidR="00000000" w:rsidRDefault="005602E5">
      <w:pPr>
        <w:pStyle w:val="p0"/>
        <w:divId w:val="1798449419"/>
      </w:pPr>
      <w:r>
        <w:t>When the development right in</w:t>
      </w:r>
      <w:r>
        <w:t xml:space="preserve"> real property has been conveyed to and accepted by the Board or a covenant has been executed and accepted by the Board pursuant to the provisions of this article, the Miami-Dade County Property Appraiser, in valuing for tax purposes the lands which are th</w:t>
      </w:r>
      <w:r>
        <w:t xml:space="preserve">e subject of such conveyance or covenant, shall consider no factors other than those relative to its value for the present use and shall follow the intent of the Legislature of this State expressed in the preamble to Chapter 67-528, Laws of Florida. </w:t>
      </w:r>
    </w:p>
    <w:p w:rsidR="00000000" w:rsidRDefault="005602E5">
      <w:pPr>
        <w:pStyle w:val="historynote"/>
        <w:divId w:val="1798449419"/>
      </w:pPr>
      <w:r>
        <w:t>(Ord.</w:t>
      </w:r>
      <w:r>
        <w:t xml:space="preserve"> No. 75-33, § 6, 5-21-75; Ord. No. 79-105, § 1, 12-4-79) </w:t>
      </w:r>
    </w:p>
    <w:p w:rsidR="00000000" w:rsidRDefault="005602E5">
      <w:pPr>
        <w:pStyle w:val="sec"/>
        <w:divId w:val="1798449419"/>
      </w:pPr>
      <w:bookmarkStart w:name="BK_6055ACE02F010741BD09D3D03F351A8E" w:id="8"/>
      <w:bookmarkEnd w:id="8"/>
      <w:r>
        <w:t>Sec. 25B-17.</w:t>
      </w:r>
      <w:r>
        <w:t xml:space="preserve"> </w:t>
      </w:r>
      <w:r>
        <w:t>Reconveyance of development rights or release of owner from terms of covenant; payment of deferred tax liability.</w:t>
      </w:r>
    </w:p>
    <w:p w:rsidR="00000000" w:rsidRDefault="005602E5">
      <w:pPr>
        <w:pStyle w:val="list0"/>
        <w:divId w:val="1798449419"/>
      </w:pPr>
      <w:r>
        <w:t>(a)</w:t>
        <w:tab/>
      </w:r>
      <w:r>
        <w:t>After making a conveyance of th</w:t>
      </w:r>
      <w:r>
        <w:t>e development right or executing a covenant pursuant to this article, the owner of said land or anyone with the owner's knowledge or consent shall not use said land in any manner inconsistent with the development right voluntarily imposed, or with the term</w:t>
      </w:r>
      <w:r>
        <w:t>s of the covenant without first obtaining a written instrument from the Board, which instrument reconveys all or part of the development right to said owner or releases said owner from the terms of the covenant, and which instrument must be promptly record</w:t>
      </w:r>
      <w:r>
        <w:t>ed in the same manner as any other instrument affecting the title to real property. Any violation of this section shall constitute a breach of the conveyance or covenant, for which breach the Board, after holding a hearing, may reconvey the conveyance or r</w:t>
      </w:r>
      <w:r>
        <w:t>evoke the covenant and require the owner of the land to pay the deferred tax liability as such term is defined in</w:t>
      </w:r>
      <w:hyperlink w:history="1" w:anchor="PTIIICOOR_CH25BPAREGE_ARTIISTACCOUSSCOUREPAPUCONOUSLAOTSUPU_S25B-17REDERIREOWTECOPADETALI" r:id="rId16">
        <w:r>
          <w:rPr>
            <w:rStyle w:val="Hyperlink"/>
          </w:rPr>
          <w:t xml:space="preserve"> Section 25B-17</w:t>
        </w:r>
      </w:hyperlink>
      <w:r>
        <w:t xml:space="preserve">(b). </w:t>
      </w:r>
    </w:p>
    <w:p w:rsidR="00000000" w:rsidRDefault="005602E5">
      <w:pPr>
        <w:pStyle w:val="list0"/>
        <w:divId w:val="1798449419"/>
      </w:pPr>
      <w:r>
        <w:t>(b)</w:t>
        <w:tab/>
      </w:r>
      <w:r>
        <w:t>The reconveyance or release shall only be made to the owner upon payment of the deferred tax liability, which shall be an amount equal to the difference between the total amount of taxes w</w:t>
      </w:r>
      <w:r>
        <w:t>hich would have been due in March in each of the previous years in which the covenant or conveyance was in effect if the property has been assessed under the provisions of Section 193.011, Florida Statutes, and the total amount of taxes actually paid in th</w:t>
      </w:r>
      <w:r>
        <w:t xml:space="preserve">ose years when the property was assessed under the provisions of this article, plus six (6) percent per annum interest on the amount so established. This payment shall be extended on the tax bill as a separate item by the County Tax Collector and shall be </w:t>
      </w:r>
      <w:r>
        <w:t xml:space="preserve">payable, without discount, at the time of payment of the other taxes on the bill. </w:t>
      </w:r>
    </w:p>
    <w:p w:rsidR="00000000" w:rsidRDefault="005602E5">
      <w:pPr>
        <w:pStyle w:val="list0"/>
        <w:divId w:val="1798449419"/>
      </w:pPr>
      <w:r>
        <w:t>(c)</w:t>
        <w:tab/>
      </w:r>
      <w:r>
        <w:t>The Board, as title holder of the development right pursuant to this article, shall not convey said development right to anyone other than the record owner of the fee in</w:t>
      </w:r>
      <w:r>
        <w:t xml:space="preserve">terest in the land to which the development right attaches or his heirs, assigns, or devisees. The release from a covenant or reconveyance to the owner of the fee or his heirs, assigns or devisees shall be made only after a determination by the Board that </w:t>
      </w:r>
      <w:r>
        <w:t>such release or reconveyance would not adversely affect the interest of the public. The Board shall not release a covenant or reconvey the development right to the record owner of the fee interest or his heirs, assigns or devisees without first holding a p</w:t>
      </w:r>
      <w:r>
        <w:t xml:space="preserve">ublic hearing. Notice of said public hearing shall be published once a week for at least two (2) weeks in a newspaper of general circulation in Miami-Dade County, Florida, prior to said hearing. </w:t>
      </w:r>
    </w:p>
    <w:p w:rsidR="00000000" w:rsidRDefault="005602E5">
      <w:pPr>
        <w:pStyle w:val="historynote"/>
        <w:divId w:val="1798449419"/>
      </w:pPr>
      <w:r>
        <w:t>(Ord. No. 75-33, § 7, 5-21-75; Ord. No. 79-105, § 1, 12-4-79</w:t>
      </w:r>
      <w:r>
        <w:t xml:space="preserve">) </w:t>
      </w:r>
    </w:p>
    <w:p w:rsidR="00000000" w:rsidRDefault="005602E5">
      <w:pPr>
        <w:pStyle w:val="sec"/>
        <w:divId w:val="1798449419"/>
      </w:pPr>
      <w:bookmarkStart w:name="BK_3D1449A56A99BB17C129729B0DF12A36" w:id="9"/>
      <w:bookmarkEnd w:id="9"/>
      <w:r>
        <w:t>Sec. 25B-18.</w:t>
      </w:r>
      <w:r>
        <w:t xml:space="preserve"> </w:t>
      </w:r>
      <w:r>
        <w:t>Definitions.</w:t>
      </w:r>
    </w:p>
    <w:p w:rsidR="00000000" w:rsidRDefault="005602E5">
      <w:pPr>
        <w:pStyle w:val="p0"/>
        <w:divId w:val="1798449419"/>
      </w:pPr>
      <w:r>
        <w:t xml:space="preserve">The following terms whenever used in this article shall have the following meanings unless a different meaning is clearly indicated by the context: </w:t>
      </w:r>
    </w:p>
    <w:p w:rsidR="00000000" w:rsidRDefault="005602E5">
      <w:pPr>
        <w:pStyle w:val="list1"/>
        <w:divId w:val="1798449419"/>
      </w:pPr>
      <w:r>
        <w:t>(a)</w:t>
        <w:tab/>
      </w:r>
      <w:r>
        <w:rPr>
          <w:i/>
          <w:iCs/>
        </w:rPr>
        <w:t>Outdoor recreational or park purposes</w:t>
      </w:r>
      <w:r>
        <w:t xml:space="preserve"> </w:t>
      </w:r>
      <w:r>
        <w:t xml:space="preserve">includes, but is not necessarily limited to, boating, golfing, swimming, horseback riding, and historical or scenic sites, and applies only to land which is open to the general public. </w:t>
      </w:r>
    </w:p>
    <w:p w:rsidR="00000000" w:rsidRDefault="005602E5">
      <w:pPr>
        <w:pStyle w:val="list1"/>
        <w:divId w:val="1798449419"/>
      </w:pPr>
      <w:r>
        <w:t>(b)</w:t>
        <w:tab/>
      </w:r>
      <w:r>
        <w:rPr>
          <w:i/>
          <w:iCs/>
        </w:rPr>
        <w:t>Qualified as environmentally endangered</w:t>
      </w:r>
      <w:r>
        <w:t xml:space="preserve"> means land which has uniqu</w:t>
      </w:r>
      <w:r>
        <w:t>e ecological characteristics, rare or limited combinations of geological formations, or features of a rare or limited nature constituting a habitat suitable for fish, plants, or wildlife, and which, if subject to development or conservation restrictions, w</w:t>
      </w:r>
      <w:r>
        <w:t>ould be consistent with the conservation, recreation, open space, and, if applicable, coastal protection elements of the Miami-Dade County Comprehensive Development Master Plan; archaeological or scientific sites of lands subject to regulation by the State</w:t>
      </w:r>
      <w:r>
        <w:t xml:space="preserve"> of Florida Department of Environmental Regulation or by the United States Army Corps of Engineers and defined as submerged lands by said respective agency. Examples of land qualified as environmentally endangered under this section are vegetative areas co</w:t>
      </w:r>
      <w:r>
        <w:t xml:space="preserve">ntaining mangrove forests, hammock and tree islands, pinelands, wetlands, and native cypress forests. </w:t>
      </w:r>
    </w:p>
    <w:p w:rsidR="00000000" w:rsidRDefault="005602E5">
      <w:pPr>
        <w:pStyle w:val="list1"/>
        <w:divId w:val="1798449419"/>
      </w:pPr>
      <w:r>
        <w:t>(c)</w:t>
        <w:tab/>
      </w:r>
      <w:r>
        <w:rPr>
          <w:i/>
          <w:iCs/>
        </w:rPr>
        <w:t>Development right</w:t>
      </w:r>
      <w:r>
        <w:t xml:space="preserve"> is the right of the owner of the fee interest in the land to change the use of the land. </w:t>
      </w:r>
    </w:p>
    <w:p w:rsidR="00000000" w:rsidRDefault="005602E5">
      <w:pPr>
        <w:pStyle w:val="list1"/>
        <w:divId w:val="1798449419"/>
      </w:pPr>
      <w:r>
        <w:t>(d)</w:t>
        <w:tab/>
      </w:r>
      <w:r>
        <w:rPr>
          <w:i/>
          <w:iCs/>
        </w:rPr>
        <w:t>Conservation restriction</w:t>
      </w:r>
      <w:r>
        <w:t xml:space="preserve"> means a limi</w:t>
      </w:r>
      <w:r>
        <w:t>tation on a right to the use of land, for purposes of conserving or preserving land or water areas predominantly in their natural, scenic, open or wooded condition, retaining such areas as suitable habitat for fish, plants or wildlife, or maintaining exist</w:t>
      </w:r>
      <w:r>
        <w:t xml:space="preserve">ing land uses by prohibiting or limiting: </w:t>
      </w:r>
    </w:p>
    <w:p w:rsidR="00000000" w:rsidRDefault="005602E5">
      <w:pPr>
        <w:pStyle w:val="list2"/>
        <w:divId w:val="1798449419"/>
      </w:pPr>
      <w:r>
        <w:t>(1)</w:t>
        <w:tab/>
      </w:r>
      <w:r>
        <w:t xml:space="preserve">Construction or placing of buildings, roads, signs, billboards or other advertising, utilities, or other structures on or above the ground. </w:t>
      </w:r>
    </w:p>
    <w:p w:rsidR="00000000" w:rsidRDefault="005602E5">
      <w:pPr>
        <w:pStyle w:val="list2"/>
        <w:divId w:val="1798449419"/>
      </w:pPr>
      <w:r>
        <w:t>(2)</w:t>
        <w:tab/>
      </w:r>
      <w:r>
        <w:t>Dumping or placing of soil or other substance or material such a</w:t>
      </w:r>
      <w:r>
        <w:t xml:space="preserve">s landfill, trash, waste, or unsightly or offensive materials. </w:t>
      </w:r>
    </w:p>
    <w:p w:rsidR="00000000" w:rsidRDefault="005602E5">
      <w:pPr>
        <w:pStyle w:val="list2"/>
        <w:divId w:val="1798449419"/>
      </w:pPr>
      <w:r>
        <w:t>(3)</w:t>
        <w:tab/>
      </w:r>
      <w:r>
        <w:t>Planting, removal or destruction of trees, shrubs or other vegetation.</w:t>
      </w:r>
    </w:p>
    <w:p w:rsidR="00000000" w:rsidRDefault="005602E5">
      <w:pPr>
        <w:pStyle w:val="list2"/>
        <w:divId w:val="1798449419"/>
      </w:pPr>
      <w:r>
        <w:t>(4)</w:t>
        <w:tab/>
      </w:r>
      <w:r>
        <w:t>Excavation, dredging, or removal of loam, peat, gravel, soil, rock or other material substance in such a manner a</w:t>
      </w:r>
      <w:r>
        <w:t xml:space="preserve">s to affect the surface. </w:t>
      </w:r>
    </w:p>
    <w:p w:rsidR="00000000" w:rsidRDefault="005602E5">
      <w:pPr>
        <w:pStyle w:val="list2"/>
        <w:divId w:val="1798449419"/>
      </w:pPr>
      <w:r>
        <w:t>(5)</w:t>
        <w:tab/>
      </w:r>
      <w:r>
        <w:t xml:space="preserve">Surface use, except for purposes that permit the land or water area to remain predominantly in its natural condition. </w:t>
      </w:r>
    </w:p>
    <w:p w:rsidR="00000000" w:rsidRDefault="005602E5">
      <w:pPr>
        <w:pStyle w:val="list2"/>
        <w:divId w:val="1798449419"/>
      </w:pPr>
      <w:r>
        <w:t>(6)</w:t>
        <w:tab/>
      </w:r>
      <w:r>
        <w:t>Activities detrimental to drainage, flood control, water conservation, erosion control, soil conservati</w:t>
      </w:r>
      <w:r>
        <w:t xml:space="preserve">on, or fish and wildlife habitat preservation. </w:t>
      </w:r>
    </w:p>
    <w:p w:rsidR="00000000" w:rsidRDefault="005602E5">
      <w:pPr>
        <w:pStyle w:val="list2"/>
        <w:divId w:val="1798449419"/>
      </w:pPr>
      <w:r>
        <w:t>(7)</w:t>
        <w:tab/>
      </w:r>
      <w:r>
        <w:t xml:space="preserve">Any other act or use detrimental to the preserving or conserving of such areas for the purposes stated herein. </w:t>
      </w:r>
    </w:p>
    <w:p w:rsidR="00000000" w:rsidRDefault="005602E5">
      <w:pPr>
        <w:pStyle w:val="list1"/>
        <w:divId w:val="1798449419"/>
      </w:pPr>
      <w:r>
        <w:t>(e)</w:t>
        <w:tab/>
      </w:r>
      <w:r>
        <w:rPr>
          <w:i/>
          <w:iCs/>
        </w:rPr>
        <w:t>Present use</w:t>
      </w:r>
      <w:r>
        <w:t xml:space="preserve"> is the manner in which the land is utilized on January first of the year in </w:t>
      </w:r>
      <w:r>
        <w:t xml:space="preserve">which the assessment is made. </w:t>
      </w:r>
    </w:p>
    <w:p w:rsidR="00000000" w:rsidRDefault="005602E5">
      <w:pPr>
        <w:pStyle w:val="list1"/>
        <w:divId w:val="1798449419"/>
      </w:pPr>
      <w:r>
        <w:t>(f)</w:t>
        <w:tab/>
      </w:r>
      <w:r>
        <w:rPr>
          <w:i/>
          <w:iCs/>
        </w:rPr>
        <w:t>Board</w:t>
      </w:r>
      <w:r>
        <w:t xml:space="preserve"> is the Board of County Commissioners of Miami-Dade County, Florida. </w:t>
      </w:r>
    </w:p>
    <w:p w:rsidR="00000000" w:rsidRDefault="005602E5">
      <w:pPr>
        <w:pStyle w:val="list1"/>
        <w:divId w:val="1798449419"/>
      </w:pPr>
      <w:r>
        <w:t>(g)</w:t>
        <w:tab/>
      </w:r>
      <w:r>
        <w:rPr>
          <w:i/>
          <w:iCs/>
        </w:rPr>
        <w:t>Covenant</w:t>
      </w:r>
      <w:r>
        <w:t xml:space="preserve"> is a covenant running with the land. </w:t>
      </w:r>
    </w:p>
    <w:p w:rsidR="00000000" w:rsidRDefault="005602E5">
      <w:pPr>
        <w:pStyle w:val="list1"/>
        <w:divId w:val="1798449419"/>
      </w:pPr>
      <w:r>
        <w:t>(h)</w:t>
        <w:tab/>
      </w:r>
      <w:r>
        <w:rPr>
          <w:i/>
          <w:iCs/>
        </w:rPr>
        <w:t>Owner</w:t>
      </w:r>
      <w:r>
        <w:t xml:space="preserve"> shall mean the owner or, if more than one (1) owner, the owners who have the fee </w:t>
      </w:r>
      <w:r>
        <w:t xml:space="preserve">simple title to the land. If the minimum contiguous area referred to above is under fee simple ownership of more than one (1) owner, then such owners may jointly submit a conveyance or covenant to meet the minimum area requirements herein. </w:t>
      </w:r>
    </w:p>
    <w:p w:rsidR="00000000" w:rsidRDefault="005602E5">
      <w:pPr>
        <w:pStyle w:val="list1"/>
        <w:divId w:val="1798449419"/>
      </w:pPr>
      <w:r>
        <w:t>(i)</w:t>
        <w:tab/>
      </w:r>
      <w:r>
        <w:rPr>
          <w:i/>
          <w:iCs/>
        </w:rPr>
        <w:t>Land</w:t>
      </w:r>
      <w:r>
        <w:t xml:space="preserve"> shall </w:t>
      </w:r>
      <w:r>
        <w:t xml:space="preserve">mean a land or water area. </w:t>
      </w:r>
    </w:p>
    <w:p w:rsidR="00000000" w:rsidRDefault="005602E5">
      <w:pPr>
        <w:pStyle w:val="historynote"/>
        <w:divId w:val="1798449419"/>
      </w:pPr>
      <w:r>
        <w:t xml:space="preserve">(Ord. No. 75-33, § 8, 5-21-75; Ord. No. 79-105, § 1, 12-4-79) </w:t>
      </w:r>
    </w:p>
    <w:p w:rsidR="00000000" w:rsidRDefault="005602E5">
      <w:pPr>
        <w:pStyle w:val="sec"/>
        <w:divId w:val="1798449419"/>
      </w:pPr>
      <w:bookmarkStart w:name="BK_A0F5F81E7BE2C308814CE57EFD93B527" w:id="10"/>
      <w:bookmarkEnd w:id="10"/>
      <w:r>
        <w:t>Sec. 25B-19.</w:t>
      </w:r>
      <w:r>
        <w:t xml:space="preserve"> </w:t>
      </w:r>
      <w:r>
        <w:t>Savings clause.</w:t>
      </w:r>
    </w:p>
    <w:p w:rsidR="00000000" w:rsidRDefault="005602E5">
      <w:pPr>
        <w:pStyle w:val="p0"/>
        <w:divId w:val="1798449419"/>
      </w:pPr>
      <w:r>
        <w:t xml:space="preserve">Unless the owner indicates otherwise to the Board, covenants and conveyances accepted by this Board </w:t>
      </w:r>
      <w:r>
        <w:t xml:space="preserve">prior to amendments of this article or the State enabling law (Section 193.501, Florida Statutes) shall remain in effect for the first ten-year period of such covenant or conveyance, provided that the terms and conditions of the covenant or conveyance are </w:t>
      </w:r>
      <w:r>
        <w:t xml:space="preserve">maintained. </w:t>
      </w:r>
    </w:p>
    <w:p w:rsidR="00000000" w:rsidRDefault="005602E5">
      <w:pPr>
        <w:pStyle w:val="historynote"/>
        <w:divId w:val="1798449419"/>
      </w:pPr>
      <w:r>
        <w:t xml:space="preserve">(Ord. No. 75-33, § 9, 5-21-75; Ord. No. 79-105, § 1, 12-4-79) </w:t>
      </w:r>
    </w:p>
    <w:p w:rsidR="00000000" w:rsidRDefault="005602E5">
      <w:pPr>
        <w:divId w:val="652417829"/>
        <w:rPr>
          <w:rFonts w:eastAsia="Times New Roman"/>
        </w:rPr>
      </w:pPr>
    </w:p>
    <w:p w:rsidR="00000000" w:rsidRDefault="005602E5">
      <w:pPr>
        <w:divId w:val="652417829"/>
        <w:rPr>
          <w:rFonts w:eastAsia="Times New Roman"/>
        </w:rPr>
      </w:pPr>
      <w:r>
        <w:rPr>
          <w:rFonts w:eastAsia="Times New Roman"/>
        </w:rPr>
        <w:pict>
          <v:rect id="_x0000_i1027" style="width:0;height:1.5pt" o:hr="t" o:hrstd="t" o:hralign="center" fillcolor="#a0a0a0" stroked="f"/>
        </w:pict>
      </w:r>
    </w:p>
    <w:p w:rsidR="00000000" w:rsidRDefault="005602E5">
      <w:pPr>
        <w:pStyle w:val="b0"/>
        <w:divId w:val="652417829"/>
        <w:rPr>
          <w:rFonts w:eastAsiaTheme="minorEastAsia"/>
        </w:rPr>
      </w:pPr>
      <w:r>
        <w:t>FOOTNOTE(S):</w:t>
      </w:r>
    </w:p>
    <w:p w:rsidR="00000000" w:rsidRDefault="005602E5">
      <w:pPr>
        <w:divId w:val="652417829"/>
        <w:rPr>
          <w:rFonts w:eastAsia="Times New Roman"/>
        </w:rPr>
      </w:pPr>
      <w:r>
        <w:rPr>
          <w:rFonts w:eastAsia="Times New Roman"/>
        </w:rPr>
        <w:pict>
          <v:rect id="_x0000_i1028" style="width:0;height:1.5pt" o:hr="t" o:hrstd="t" o:hralign="center" fillcolor="#a0a0a0" stroked="f"/>
        </w:pict>
      </w:r>
    </w:p>
    <w:p w:rsidR="00000000" w:rsidRDefault="005602E5">
      <w:pPr>
        <w:pStyle w:val="refcharterfn"/>
        <w:divId w:val="227114581"/>
        <w:rPr>
          <w:rFonts w:eastAsiaTheme="minorEastAsia"/>
        </w:rPr>
      </w:pPr>
      <w:r>
        <w:t>--- (</w:t>
      </w:r>
      <w:r>
        <w:rPr>
          <w:b/>
          <w:bCs/>
        </w:rPr>
        <w:t>2</w:t>
      </w:r>
      <w:r>
        <w:t xml:space="preserve">) --- </w:t>
      </w:r>
    </w:p>
    <w:p w:rsidR="00000000" w:rsidRDefault="005602E5">
      <w:pPr>
        <w:pStyle w:val="refeditorfn"/>
        <w:divId w:val="227114581"/>
      </w:pPr>
      <w:r>
        <w:rPr>
          <w:b/>
          <w:bCs/>
        </w:rPr>
        <w:t>Editor's note—</w:t>
      </w:r>
      <w:r>
        <w:t xml:space="preserve"> Ord. No. 75-33, enacted May 21, 1975, provided that the provisio</w:t>
      </w:r>
      <w:r>
        <w:t xml:space="preserve">ns of said ordinance be included in this Code, but did not specify the manner thereof; hence codification of §§ 1—9 herein as Art. II, §§ 25B-11—25B-19, was at the discretion of the editors. </w:t>
      </w:r>
      <w:hyperlink w:history="1" w:anchor="BK_9AF731739107CD4B1A8A511E538BC66A">
        <w:r>
          <w:rPr>
            <w:rStyle w:val="Hyperlink"/>
          </w:rPr>
          <w:t>(Back)</w:t>
        </w:r>
      </w:hyperlink>
    </w:p>
    <w:p w:rsidR="00000000" w:rsidRDefault="005602E5">
      <w:pPr>
        <w:pStyle w:val="Heading3"/>
        <w:divId w:val="940184832"/>
        <w:rPr>
          <w:rFonts w:eastAsia="Times New Roman"/>
        </w:rPr>
      </w:pPr>
      <w:r>
        <w:rPr>
          <w:rFonts w:eastAsia="Times New Roman"/>
        </w:rPr>
        <w:t>ARTICLE III.</w:t>
      </w:r>
      <w:r>
        <w:rPr>
          <w:rFonts w:eastAsia="Times New Roman"/>
        </w:rPr>
        <w:t xml:space="preserve"> </w:t>
      </w:r>
      <w:r>
        <w:rPr>
          <w:rFonts w:eastAsia="Times New Roman"/>
        </w:rPr>
        <w:t xml:space="preserve">SAFE NEIGHBORHOOD PARKS ORDINANCE </w:t>
      </w:r>
      <w:hyperlink w:history="1" w:anchor="BK_7010068E97FDD3B9D22670D0FAFD891A">
        <w:r>
          <w:rPr>
            <w:rStyle w:val="Hyperlink"/>
            <w:rFonts w:eastAsia="Times New Roman"/>
            <w:vertAlign w:val="superscript"/>
          </w:rPr>
          <w:t>[3]</w:t>
        </w:r>
      </w:hyperlink>
      <w:r>
        <w:rPr>
          <w:rFonts w:eastAsia="Times New Roman"/>
        </w:rPr>
        <w:t xml:space="preserve"> </w:t>
      </w:r>
    </w:p>
    <w:p w:rsidR="00000000" w:rsidRDefault="005602E5">
      <w:pPr>
        <w:pStyle w:val="seclink"/>
        <w:divId w:val="940184832"/>
        <w:rPr>
          <w:rFonts w:eastAsiaTheme="minorEastAsia"/>
        </w:rPr>
      </w:pPr>
      <w:hyperlink w:history="1" w:anchor="BK_4D83008CC56E196FF8865EE0BA12EA1A">
        <w:r>
          <w:rPr>
            <w:rStyle w:val="Hyperlink"/>
          </w:rPr>
          <w:t>Sec. 25B-20. Findings.</w:t>
        </w:r>
      </w:hyperlink>
    </w:p>
    <w:p w:rsidR="00000000" w:rsidRDefault="005602E5">
      <w:pPr>
        <w:pStyle w:val="seclink"/>
        <w:divId w:val="940184832"/>
      </w:pPr>
      <w:hyperlink w:history="1" w:anchor="BK_80E708D72FA9B2FFA392F8CEC7CD8F47">
        <w:r>
          <w:rPr>
            <w:rStyle w:val="Hyperlink"/>
          </w:rPr>
          <w:t>Sec. 25B-21. Definition.</w:t>
        </w:r>
      </w:hyperlink>
    </w:p>
    <w:p w:rsidR="00000000" w:rsidRDefault="005602E5">
      <w:pPr>
        <w:pStyle w:val="seclink"/>
        <w:divId w:val="940184832"/>
      </w:pPr>
      <w:hyperlink w:history="1" w:anchor="BK_18F45E4EE3A37E513A2B747F53F1C26E">
        <w:r>
          <w:rPr>
            <w:rStyle w:val="Hyperlink"/>
          </w:rPr>
          <w:t>Sec. 25B-22. Bonds.</w:t>
        </w:r>
      </w:hyperlink>
    </w:p>
    <w:p w:rsidR="00000000" w:rsidRDefault="005602E5">
      <w:pPr>
        <w:pStyle w:val="seclink"/>
        <w:divId w:val="940184832"/>
      </w:pPr>
      <w:hyperlink w:history="1" w:anchor="BK_C80AFA065BC72F1DD891DE8C16EBC48E">
        <w:r>
          <w:rPr>
            <w:rStyle w:val="Hyperlink"/>
          </w:rPr>
          <w:t>Sec. 25B-23. Administration.</w:t>
        </w:r>
      </w:hyperlink>
    </w:p>
    <w:p w:rsidR="00000000" w:rsidRDefault="005602E5">
      <w:pPr>
        <w:pStyle w:val="seclink"/>
        <w:divId w:val="940184832"/>
      </w:pPr>
      <w:hyperlink w:history="1" w:anchor="BK_82AFEE1297C4F73C04E4B16E5AC1035F">
        <w:r>
          <w:rPr>
            <w:rStyle w:val="Hyperlink"/>
          </w:rPr>
          <w:t>Sec. 25B</w:t>
        </w:r>
        <w:r>
          <w:rPr>
            <w:rStyle w:val="Hyperlink"/>
          </w:rPr>
          <w:t>-24. Grant proposals.</w:t>
        </w:r>
      </w:hyperlink>
    </w:p>
    <w:p w:rsidR="00000000" w:rsidRDefault="005602E5">
      <w:pPr>
        <w:pStyle w:val="seclink"/>
        <w:divId w:val="940184832"/>
      </w:pPr>
      <w:hyperlink w:history="1" w:anchor="BK_0E49028B8444C9D6D6C8B0CFB0AA52E5">
        <w:r>
          <w:rPr>
            <w:rStyle w:val="Hyperlink"/>
          </w:rPr>
          <w:t>Sec. 25B-25. Disbursement of funds.</w:t>
        </w:r>
      </w:hyperlink>
    </w:p>
    <w:p w:rsidR="00000000" w:rsidRDefault="005602E5">
      <w:pPr>
        <w:pStyle w:val="seclink"/>
        <w:divId w:val="940184832"/>
      </w:pPr>
      <w:hyperlink w:history="1" w:anchor="BK_41D4A1A2EABCBC57A6EA7D5975A0D740">
        <w:r>
          <w:rPr>
            <w:rStyle w:val="Hyperlink"/>
          </w:rPr>
          <w:t>Sec. 25B-26. Property acquisition.</w:t>
        </w:r>
      </w:hyperlink>
    </w:p>
    <w:p w:rsidR="00000000" w:rsidRDefault="005602E5">
      <w:pPr>
        <w:pStyle w:val="seclink"/>
        <w:divId w:val="940184832"/>
      </w:pPr>
      <w:hyperlink w:history="1" w:anchor="BK_DB391EB3B871B36157C619FA489E5596">
        <w:r>
          <w:rPr>
            <w:rStyle w:val="Hyperlink"/>
          </w:rPr>
          <w:t>Sec. 25B-27. Public access and community involvement.</w:t>
        </w:r>
      </w:hyperlink>
    </w:p>
    <w:p w:rsidR="00000000" w:rsidRDefault="005602E5">
      <w:pPr>
        <w:pStyle w:val="seclink"/>
        <w:divId w:val="940184832"/>
      </w:pPr>
      <w:hyperlink w:history="1" w:anchor="BK_74AF12280884009C4D62554C8923E6F3">
        <w:r>
          <w:rPr>
            <w:rStyle w:val="Hyperlink"/>
          </w:rPr>
          <w:t>Sec. 25B-28. Environmental review.</w:t>
        </w:r>
      </w:hyperlink>
    </w:p>
    <w:p w:rsidR="00000000" w:rsidRDefault="005602E5">
      <w:pPr>
        <w:pStyle w:val="seclink"/>
        <w:divId w:val="940184832"/>
      </w:pPr>
      <w:hyperlink w:history="1" w:anchor="BK_E77F1730FFD573052D398F0896B3CC57">
        <w:r>
          <w:rPr>
            <w:rStyle w:val="Hyperlink"/>
          </w:rPr>
          <w:t>Sec. 25B-29. Bond capital.</w:t>
        </w:r>
      </w:hyperlink>
    </w:p>
    <w:p w:rsidR="00000000" w:rsidRDefault="005602E5">
      <w:pPr>
        <w:pStyle w:val="seclink"/>
        <w:divId w:val="940184832"/>
      </w:pPr>
      <w:hyperlink w:history="1" w:anchor="BK_E52EF6635A592E740E1A291CF86BEB7F">
        <w:r>
          <w:rPr>
            <w:rStyle w:val="Hyperlink"/>
          </w:rPr>
          <w:t>Sec. 25B-30. Maintenance of effort.</w:t>
        </w:r>
      </w:hyperlink>
    </w:p>
    <w:p w:rsidR="00000000" w:rsidRDefault="005602E5">
      <w:pPr>
        <w:pStyle w:val="seclink"/>
        <w:divId w:val="940184832"/>
      </w:pPr>
      <w:hyperlink w:history="1" w:anchor="BK_45C492607295DE8C45FEF17B19667A97">
        <w:r>
          <w:rPr>
            <w:rStyle w:val="Hyperlink"/>
          </w:rPr>
          <w:t>Sec. 25B-31. Sale of bonds.</w:t>
        </w:r>
      </w:hyperlink>
    </w:p>
    <w:p w:rsidR="00000000" w:rsidRDefault="005602E5">
      <w:pPr>
        <w:pStyle w:val="seclink"/>
        <w:divId w:val="940184832"/>
      </w:pPr>
      <w:hyperlink w:history="1" w:anchor="BK_69D024DE26DBF562C8EFEC0F0BFDE603">
        <w:r>
          <w:rPr>
            <w:rStyle w:val="Hyperlink"/>
          </w:rPr>
          <w:t>Sec. 25B-32. Independent audit.</w:t>
        </w:r>
      </w:hyperlink>
    </w:p>
    <w:p w:rsidR="00000000" w:rsidRDefault="005602E5">
      <w:pPr>
        <w:divId w:val="940184832"/>
        <w:rPr>
          <w:rFonts w:eastAsia="Times New Roman"/>
        </w:rPr>
      </w:pPr>
      <w:r>
        <w:rPr>
          <w:rFonts w:eastAsia="Times New Roman"/>
        </w:rPr>
        <w:br/>
      </w:r>
    </w:p>
    <w:p w:rsidR="00000000" w:rsidRDefault="005602E5">
      <w:pPr>
        <w:pStyle w:val="sec"/>
        <w:divId w:val="940184832"/>
      </w:pPr>
      <w:bookmarkStart w:name="BK_4D83008CC56E196FF8865EE0BA12EA1A" w:id="11"/>
      <w:bookmarkEnd w:id="11"/>
      <w:r>
        <w:t>Sec. 25B-20.</w:t>
      </w:r>
      <w:r>
        <w:t xml:space="preserve"> </w:t>
      </w:r>
      <w:r>
        <w:t>Findings.</w:t>
      </w:r>
    </w:p>
    <w:p w:rsidR="00000000" w:rsidRDefault="005602E5">
      <w:pPr>
        <w:pStyle w:val="p0"/>
        <w:divId w:val="940184832"/>
      </w:pPr>
      <w:r>
        <w:t xml:space="preserve">The Board finds that: </w:t>
      </w:r>
    </w:p>
    <w:p w:rsidR="00000000" w:rsidRDefault="005602E5">
      <w:pPr>
        <w:pStyle w:val="list1"/>
        <w:divId w:val="940184832"/>
      </w:pPr>
      <w:r>
        <w:t>(a)</w:t>
        <w:tab/>
      </w:r>
      <w:r>
        <w:t>The purposes described in the Whereas clauses are incorporated in the body of this article by reference. This article sh</w:t>
      </w:r>
      <w:r>
        <w:t xml:space="preserve">all hereafter be known as the "Safe Neighborhood Parks Ordinance" and referred to herein as the "article". </w:t>
      </w:r>
    </w:p>
    <w:p w:rsidR="00000000" w:rsidRDefault="005602E5">
      <w:pPr>
        <w:pStyle w:val="list1"/>
        <w:divId w:val="940184832"/>
      </w:pPr>
      <w:r>
        <w:t>(b)</w:t>
        <w:tab/>
      </w:r>
      <w:r>
        <w:t>It is critical that neighborhood and regional parks are restored and improved throughout the County to improve the overall quality of life of ou</w:t>
      </w:r>
      <w:r>
        <w:t xml:space="preserve">r communities, provide safe places for children to play and alternatives to gangs and gang activities, increase recreation opportunities for senior citizens, and provide pleasant places for all residents to enjoy relief from congestion and urban stress. </w:t>
      </w:r>
    </w:p>
    <w:p w:rsidR="00000000" w:rsidRDefault="005602E5">
      <w:pPr>
        <w:pStyle w:val="list1"/>
        <w:divId w:val="940184832"/>
      </w:pPr>
      <w:r>
        <w:t>(c)</w:t>
        <w:tab/>
      </w:r>
      <w:r>
        <w:t>The improvement, restoration, expansion, and enhanced safety of park, open space and recreation lands and facilities will help reduce crime, increase the attractiveness of the County as a place in which to live and locate businesses, maintain sound econ</w:t>
      </w:r>
      <w:r>
        <w:t xml:space="preserve">omic conditions and a high standard of livability in the County by increasing property values, economic activity, employment opportunities and tourism throughout the County. </w:t>
      </w:r>
    </w:p>
    <w:p w:rsidR="00000000" w:rsidRDefault="005602E5">
      <w:pPr>
        <w:pStyle w:val="list1"/>
        <w:divId w:val="940184832"/>
      </w:pPr>
      <w:r>
        <w:t>(d)</w:t>
        <w:tab/>
      </w:r>
      <w:r>
        <w:t>The protection of beach, park, recreation and natural areas is vital to the q</w:t>
      </w:r>
      <w:r>
        <w:t xml:space="preserve">uality of life in the County, providing important recreation opportunities to all residents of the County, especially children and senior citizens, and helping to protect air and water quality. </w:t>
      </w:r>
    </w:p>
    <w:p w:rsidR="00000000" w:rsidRDefault="005602E5">
      <w:pPr>
        <w:pStyle w:val="list1"/>
        <w:divId w:val="940184832"/>
      </w:pPr>
      <w:r>
        <w:t>(e)</w:t>
        <w:tab/>
      </w:r>
      <w:r>
        <w:t>The Board finds that the distribution of the funds for qu</w:t>
      </w:r>
      <w:r>
        <w:t xml:space="preserve">alified projects must be done in a fair and organized manner. </w:t>
      </w:r>
    </w:p>
    <w:p w:rsidR="00000000" w:rsidRDefault="005602E5">
      <w:pPr>
        <w:pStyle w:val="historynote"/>
        <w:divId w:val="940184832"/>
      </w:pPr>
      <w:r>
        <w:t xml:space="preserve">(Ord. No. 96-115, § 1, 7-16-96) </w:t>
      </w:r>
    </w:p>
    <w:p w:rsidR="00000000" w:rsidRDefault="005602E5">
      <w:pPr>
        <w:pStyle w:val="sec"/>
        <w:divId w:val="940184832"/>
      </w:pPr>
      <w:bookmarkStart w:name="BK_80E708D72FA9B2FFA392F8CEC7CD8F47" w:id="12"/>
      <w:bookmarkEnd w:id="12"/>
      <w:r>
        <w:t>Sec. 25B-21.</w:t>
      </w:r>
      <w:r>
        <w:t xml:space="preserve"> </w:t>
      </w:r>
      <w:r>
        <w:t>Definition.</w:t>
      </w:r>
    </w:p>
    <w:p w:rsidR="00000000" w:rsidRDefault="005602E5">
      <w:pPr>
        <w:pStyle w:val="p0"/>
        <w:divId w:val="940184832"/>
      </w:pPr>
      <w:r>
        <w:t xml:space="preserve">As used in this article, the following terms mean: </w:t>
      </w:r>
    </w:p>
    <w:p w:rsidR="00000000" w:rsidRDefault="005602E5">
      <w:pPr>
        <w:pStyle w:val="p0"/>
        <w:divId w:val="940184832"/>
      </w:pPr>
      <w:r>
        <w:rPr>
          <w:i/>
          <w:iCs/>
        </w:rPr>
        <w:t>Administrative expenses</w:t>
      </w:r>
      <w:r>
        <w:t xml:space="preserve"> means all direct expens</w:t>
      </w:r>
      <w:r>
        <w:t>es incurred in administering the development and completion of any of the projects authorized and approved under the terms of this article. Administrative costs shall not include those administrative expenses incurred in the everyday operation of any not-f</w:t>
      </w:r>
      <w:r>
        <w:t xml:space="preserve">or-profit organization and public agency, which administer a project funded pursuant to this article. </w:t>
      </w:r>
    </w:p>
    <w:p w:rsidR="00000000" w:rsidRDefault="005602E5">
      <w:pPr>
        <w:pStyle w:val="p0"/>
        <w:divId w:val="940184832"/>
      </w:pPr>
      <w:r>
        <w:rPr>
          <w:i/>
          <w:iCs/>
        </w:rPr>
        <w:t>Beaches</w:t>
      </w:r>
      <w:r>
        <w:t xml:space="preserve"> means beaches open to use by all of the residents of the County. </w:t>
      </w:r>
    </w:p>
    <w:p w:rsidR="00000000" w:rsidRDefault="005602E5">
      <w:pPr>
        <w:pStyle w:val="p0"/>
        <w:divId w:val="940184832"/>
      </w:pPr>
      <w:r>
        <w:rPr>
          <w:i/>
          <w:iCs/>
        </w:rPr>
        <w:t>General fund</w:t>
      </w:r>
      <w:r>
        <w:t xml:space="preserve"> </w:t>
      </w:r>
      <w:r>
        <w:t xml:space="preserve">means those funds raised, primarily through ad valorem taxes, fees and transfers, that are used to account for the general operations of the County or municipal governments and all transactions which are not accounted for in other funds or account groups. </w:t>
      </w:r>
    </w:p>
    <w:p w:rsidR="00000000" w:rsidRDefault="005602E5">
      <w:pPr>
        <w:pStyle w:val="p0"/>
        <w:divId w:val="940184832"/>
      </w:pPr>
      <w:r>
        <w:rPr>
          <w:i/>
          <w:iCs/>
        </w:rPr>
        <w:t>Natural area</w:t>
      </w:r>
      <w:r>
        <w:t xml:space="preserve"> means an environmentally sensitive area usually containing a natural forest community, freshwater or coastal wetland and managed to maintain and enhance biological values. </w:t>
      </w:r>
    </w:p>
    <w:p w:rsidR="00000000" w:rsidRDefault="005602E5">
      <w:pPr>
        <w:pStyle w:val="p0"/>
        <w:divId w:val="940184832"/>
      </w:pPr>
      <w:r>
        <w:rPr>
          <w:i/>
          <w:iCs/>
        </w:rPr>
        <w:t>Not-for-profit organization</w:t>
      </w:r>
      <w:r>
        <w:t xml:space="preserve"> means any legally incorporated not-for-pr</w:t>
      </w:r>
      <w:r>
        <w:t xml:space="preserve">ofit organization created under the laws of the State of Florida (the "State") and designated as a tax exempt entity by the United States Internal Revenue Service, which has among its purposes the provision of park and recreation services, gang prevention </w:t>
      </w:r>
      <w:r>
        <w:t xml:space="preserve">and intervention, tree-planting, or the conservation and preservation of lands for park, natural areas, scenic, historic, or open spaces. </w:t>
      </w:r>
    </w:p>
    <w:p w:rsidR="00000000" w:rsidRDefault="005602E5">
      <w:pPr>
        <w:pStyle w:val="p0"/>
        <w:divId w:val="940184832"/>
      </w:pPr>
      <w:r>
        <w:rPr>
          <w:i/>
          <w:iCs/>
        </w:rPr>
        <w:t>Parks</w:t>
      </w:r>
      <w:r>
        <w:t xml:space="preserve"> mean those areas of public land set aside for aesthetic, educational, recreational, or cultural use by the citi</w:t>
      </w:r>
      <w:r>
        <w:t xml:space="preserve">zens of the County. </w:t>
      </w:r>
    </w:p>
    <w:p w:rsidR="00000000" w:rsidRDefault="005602E5">
      <w:pPr>
        <w:pStyle w:val="p0"/>
        <w:divId w:val="940184832"/>
      </w:pPr>
      <w:r>
        <w:rPr>
          <w:i/>
          <w:iCs/>
        </w:rPr>
        <w:t>Park and recreation department</w:t>
      </w:r>
      <w:r>
        <w:t xml:space="preserve"> means the Miami-Dade County Park and Recreation Department. </w:t>
      </w:r>
    </w:p>
    <w:p w:rsidR="00000000" w:rsidRDefault="005602E5">
      <w:pPr>
        <w:pStyle w:val="p0"/>
        <w:divId w:val="940184832"/>
      </w:pPr>
      <w:r>
        <w:rPr>
          <w:i/>
          <w:iCs/>
        </w:rPr>
        <w:t>Public agency or public agencies</w:t>
      </w:r>
      <w:r>
        <w:t xml:space="preserve"> means an agency or agencies or administrative division or divisions of the United States government, the State</w:t>
      </w:r>
      <w:r>
        <w:t xml:space="preserve"> of Florida, the County, or any municipality within the County. </w:t>
      </w:r>
    </w:p>
    <w:p w:rsidR="00000000" w:rsidRDefault="005602E5">
      <w:pPr>
        <w:pStyle w:val="p0"/>
        <w:divId w:val="940184832"/>
      </w:pPr>
      <w:r>
        <w:rPr>
          <w:i/>
          <w:iCs/>
        </w:rPr>
        <w:t>Recreation and heritage facilities</w:t>
      </w:r>
      <w:r>
        <w:t xml:space="preserve"> mean those facilities that are managed by a public agency or agencies that focus their programming on cultural, historical, educational and recreational act</w:t>
      </w:r>
      <w:r>
        <w:t xml:space="preserve">ivities. </w:t>
      </w:r>
    </w:p>
    <w:p w:rsidR="00000000" w:rsidRDefault="005602E5">
      <w:pPr>
        <w:pStyle w:val="p0"/>
        <w:divId w:val="940184832"/>
      </w:pPr>
      <w:r>
        <w:rPr>
          <w:i/>
          <w:iCs/>
        </w:rPr>
        <w:t>State park</w:t>
      </w:r>
      <w:r>
        <w:t xml:space="preserve"> means a park owned or operated by the Florida Department of Environmental Protection, Division of Recreation and Parks. </w:t>
      </w:r>
    </w:p>
    <w:p w:rsidR="00000000" w:rsidRDefault="005602E5">
      <w:pPr>
        <w:pStyle w:val="p0"/>
        <w:divId w:val="940184832"/>
      </w:pPr>
      <w:r>
        <w:rPr>
          <w:i/>
          <w:iCs/>
        </w:rPr>
        <w:t>Trust account</w:t>
      </w:r>
      <w:r>
        <w:t xml:space="preserve"> means the separate interest bearing account into which proceeds of the bond program, as outlined in </w:t>
      </w:r>
      <w:r>
        <w:t xml:space="preserve">this article, shall be deposited. </w:t>
      </w:r>
    </w:p>
    <w:p w:rsidR="00000000" w:rsidRDefault="005602E5">
      <w:pPr>
        <w:pStyle w:val="p0"/>
        <w:divId w:val="940184832"/>
      </w:pPr>
      <w:r>
        <w:rPr>
          <w:i/>
          <w:iCs/>
        </w:rPr>
        <w:t>UMSA</w:t>
      </w:r>
      <w:r>
        <w:t xml:space="preserve"> means Unincorporated Municipal Service area of the County, for which the County provides municipal services. </w:t>
      </w:r>
    </w:p>
    <w:p w:rsidR="00000000" w:rsidRDefault="005602E5">
      <w:pPr>
        <w:pStyle w:val="historynote"/>
        <w:divId w:val="940184832"/>
      </w:pPr>
      <w:r>
        <w:t xml:space="preserve">(Ord. No. 96-115, § 2, 7-16-96) </w:t>
      </w:r>
    </w:p>
    <w:p w:rsidR="00000000" w:rsidRDefault="005602E5">
      <w:pPr>
        <w:pStyle w:val="sec"/>
        <w:divId w:val="940184832"/>
      </w:pPr>
      <w:bookmarkStart w:name="BK_18F45E4EE3A37E513A2B747F53F1C26E" w:id="13"/>
      <w:bookmarkEnd w:id="13"/>
      <w:r>
        <w:t>Sec. 25B-22.</w:t>
      </w:r>
      <w:r>
        <w:t xml:space="preserve"> </w:t>
      </w:r>
      <w:r>
        <w:t>Bonds.</w:t>
      </w:r>
    </w:p>
    <w:p w:rsidR="00000000" w:rsidRDefault="005602E5">
      <w:pPr>
        <w:pStyle w:val="p0"/>
        <w:divId w:val="940184832"/>
      </w:pPr>
      <w:r>
        <w:t>In accordance wit</w:t>
      </w:r>
      <w:r>
        <w:t>h the provisions of the Miami-Dade County Home Rule Charter and the general laws of the State of Florida, including Chapters 125, 159, and 166, Florida Statutes, there is authorized to be issued, subject to the approval of the electorate pursuant to the Sp</w:t>
      </w:r>
      <w:r>
        <w:t xml:space="preserve">ecial Election, general obligation bonds of the County, in one (1) or more series, in an aggregate principal amount not to exceed two hundred million dollars ($200,000,000.00) outstanding at any one (1) time (the "bonds"). This article also authorizes the </w:t>
      </w:r>
      <w:r>
        <w:t>issuance of other evidences of indebtedness in the form of anticipation notes or bonds in anticipation of the issuance of the bonds. The bonds shall be payable from unlimited ad valorem taxes levied on all taxable property in the County without limit as to</w:t>
      </w:r>
      <w:r>
        <w:t xml:space="preserve"> rate or amount, the full faith and credit of the County being pledged to the payment of principal of, redemption premium, if any, and interest on the bonds. The bonds shall bear interest at such rate or rates, not exceeding the maximum rate of interest pe</w:t>
      </w:r>
      <w:r>
        <w:t>rmitted by law at the time of their sale, shall be stated to mature on a date or dates not exceeding forty (40) years from the date of issue, shall be subject to redemption and shall have such other terms, covenants and provisions as shall be determined by</w:t>
      </w:r>
      <w:r>
        <w:t xml:space="preserve"> the Board by one (1) or more subsequent ordinances or resolutions. The purpose of the bonds shall be (i) to pay the costs of issuance of bonds, (ii) to pay eligible administrative costs, and (iii) to finance the acquisition of and capital improvements to </w:t>
      </w:r>
      <w:r>
        <w:t xml:space="preserve">parks, beaches, natural areas and recreational and heritage facilities, in the manner set forth in this article, in amounts not to exceed the following: </w:t>
      </w:r>
    </w:p>
    <w:p w:rsidR="00000000" w:rsidRDefault="005602E5">
      <w:pPr>
        <w:pStyle w:val="list1"/>
        <w:divId w:val="940184832"/>
      </w:pPr>
      <w:r>
        <w:t>(a)</w:t>
        <w:tab/>
      </w:r>
      <w:r>
        <w:rPr>
          <w:i/>
          <w:iCs/>
        </w:rPr>
        <w:t>Municipal per capita allocation and direct grants for specific projects:</w:t>
      </w:r>
      <w:r>
        <w:t xml:space="preserve"> One hundred seven million</w:t>
      </w:r>
      <w:r>
        <w:t xml:space="preserve"> nine hundred and fifty thousand dollars ($107,950,000.00) for grants to public agencies and not-for-profit organizations for the development, improvement, rehabilitation, restoration or acquisition of real property for parks and park safety, youth, adult </w:t>
      </w:r>
      <w:r>
        <w:t xml:space="preserve">and senior citizens' recreation facilities, beaches, greenways, trails, and natural areas in accordance with the following schedule: </w:t>
      </w:r>
    </w:p>
    <w:p w:rsidR="00000000" w:rsidRDefault="005602E5">
      <w:pPr>
        <w:pStyle w:val="list2"/>
        <w:divId w:val="940184832"/>
      </w:pPr>
      <w:r>
        <w:t>(1)</w:t>
        <w:tab/>
      </w:r>
      <w:r>
        <w:t>Nineteen million nine hundred fifty thousand dollars ($19,950,000.00) for grants to all incorporated municipalities an</w:t>
      </w:r>
      <w:r>
        <w:t xml:space="preserve">d UMSA (Unincorporated Municipal Service Area) within the County, in accordance to the following schedule: </w:t>
      </w:r>
    </w:p>
    <w:p w:rsidR="00000000" w:rsidRDefault="005602E5">
      <w:pPr>
        <w:pStyle w:val="list3"/>
        <w:divId w:val="940184832"/>
      </w:pPr>
      <w:r>
        <w:t>(i)</w:t>
        <w:tab/>
      </w:r>
      <w:r>
        <w:t>Nine million seven hundred thousand dollars ($9,700,000.00) to divide on a per capita basis among the municipalities duly incorporated on the ef</w:t>
      </w:r>
      <w:r>
        <w:t xml:space="preserve">fective date of this article. </w:t>
      </w:r>
    </w:p>
    <w:p w:rsidR="00000000" w:rsidRDefault="005602E5">
      <w:pPr>
        <w:pStyle w:val="list3"/>
        <w:divId w:val="940184832"/>
      </w:pPr>
      <w:r>
        <w:t>(ii)</w:t>
        <w:tab/>
      </w:r>
      <w:r>
        <w:t xml:space="preserve">Ten million two hundred fifty thousand dollars ($10,250,000.00) to UMSA as its municipal share. </w:t>
      </w:r>
    </w:p>
    <w:p w:rsidR="00000000" w:rsidRDefault="005602E5">
      <w:pPr>
        <w:pStyle w:val="list2"/>
        <w:divId w:val="940184832"/>
      </w:pPr>
      <w:r>
        <w:t>(2)</w:t>
        <w:tab/>
      </w:r>
      <w:r>
        <w:t>Direct grants for specific projects: Eighty-eight million three hundred and fifty thousand dollars ($88,350,000.00) for</w:t>
      </w:r>
      <w:r>
        <w:t xml:space="preserve"> direct grants to municipalities and UMSA, in accordance with the schedule attached as Exhibit "A" [which can be found in the County Clerk's office attached to Ordinance No. 96-115] and incorporated in this article by reference. Any project changes in UMSA</w:t>
      </w:r>
      <w:r>
        <w:t xml:space="preserve"> from the schedule attached as Exhibit "A" shall require approval by a unanimous vote of the County Commissioners present at the time the Board considers any such project changes. </w:t>
      </w:r>
    </w:p>
    <w:p w:rsidR="00000000" w:rsidRDefault="005602E5">
      <w:pPr>
        <w:pStyle w:val="list1"/>
        <w:divId w:val="940184832"/>
      </w:pPr>
      <w:r>
        <w:t>(b)</w:t>
        <w:tab/>
      </w:r>
      <w:r>
        <w:rPr>
          <w:i/>
          <w:iCs/>
        </w:rPr>
        <w:t>Grants for specific regional projects:</w:t>
      </w:r>
      <w:r>
        <w:t xml:space="preserve"> Seventy-six million seven hundre</w:t>
      </w:r>
      <w:r>
        <w:t xml:space="preserve">d thousand dollars ($76,700,000.00) to the County Park and Recreation Department for the development, improvement, restoration, rehabilitation or acquisition of real property for Regional Parks, Beaches and Biscayne Bay access, specific regional projects, </w:t>
      </w:r>
      <w:r>
        <w:t>Heritage Facilities, Natural Area Preserves and greenways and trails, in accordance with the schedule described in Exhibit "B" [which can be found in the County Clerk's office attached to Ordinance No. 96-115]. Any project changes in UMSA from the schedule</w:t>
      </w:r>
      <w:r>
        <w:t xml:space="preserve"> attached as Exhibit "B" shall require approval by a unanimous vote of the County Commissioners present at the time the Board considers any such project changes. </w:t>
      </w:r>
    </w:p>
    <w:p w:rsidR="00000000" w:rsidRDefault="005602E5">
      <w:pPr>
        <w:pStyle w:val="list1"/>
        <w:divId w:val="940184832"/>
      </w:pPr>
      <w:r>
        <w:t>(c)</w:t>
        <w:tab/>
      </w:r>
      <w:r>
        <w:rPr>
          <w:i/>
          <w:iCs/>
        </w:rPr>
        <w:t>Challenge grants:</w:t>
      </w:r>
      <w:r>
        <w:t xml:space="preserve"> </w:t>
      </w:r>
      <w:r>
        <w:t xml:space="preserve">Fifteen million ($15,000,000.00) for challenge grants to public agencies and not-for-profit organizations in accordance with the following schedule: </w:t>
      </w:r>
    </w:p>
    <w:p w:rsidR="00000000" w:rsidRDefault="005602E5">
      <w:pPr>
        <w:pStyle w:val="list2"/>
        <w:divId w:val="940184832"/>
      </w:pPr>
      <w:r>
        <w:t>(1)</w:t>
        <w:tab/>
      </w:r>
      <w:r>
        <w:t>Seven million dollars ($7,000,000.00) for challenge grants to public agencies and not-for-profit organ</w:t>
      </w:r>
      <w:r>
        <w:t xml:space="preserve">izations for land acquisition, construction and development of youth recreation and service facilities. </w:t>
      </w:r>
    </w:p>
    <w:p w:rsidR="00000000" w:rsidRDefault="005602E5">
      <w:pPr>
        <w:pStyle w:val="list2"/>
        <w:divId w:val="940184832"/>
      </w:pPr>
      <w:r>
        <w:t>(2)</w:t>
        <w:tab/>
      </w:r>
      <w:r>
        <w:t>Eight million dollars ($8,000,000.00) for challenge grants to public agencies and not-for-profit organizations for natural areas, recreation and op</w:t>
      </w:r>
      <w:r>
        <w:t xml:space="preserve">en space land acquisition and development. </w:t>
      </w:r>
    </w:p>
    <w:p w:rsidR="00000000" w:rsidRDefault="005602E5">
      <w:pPr>
        <w:pStyle w:val="historynote"/>
        <w:divId w:val="940184832"/>
      </w:pPr>
      <w:r>
        <w:t>(Ord. No. 96-115, § 3, 7-16-96; Ord. No. 98-58, § 1, 5-5-98; Ord. No. 01-160, § 1, 9-25-01; Ord. No. 02-253, § 1, 12-3-02; Ord. No. 03-138, § 1, 6-3-03; Ord. No. 03-139, § 1, 6-3-03; Ord. No. 05-18, § 1, 1-27-05;</w:t>
      </w:r>
      <w:r>
        <w:t xml:space="preserve"> Ord. No. 10-79, § 1, 11-4-10) </w:t>
      </w:r>
    </w:p>
    <w:p w:rsidR="00000000" w:rsidRDefault="005602E5">
      <w:pPr>
        <w:pStyle w:val="sec"/>
        <w:divId w:val="940184832"/>
      </w:pPr>
      <w:bookmarkStart w:name="BK_C80AFA065BC72F1DD891DE8C16EBC48E" w:id="14"/>
      <w:bookmarkEnd w:id="14"/>
      <w:r>
        <w:t>Sec. 25B-23.</w:t>
      </w:r>
      <w:r>
        <w:t xml:space="preserve"> </w:t>
      </w:r>
      <w:r>
        <w:t>Administration.</w:t>
      </w:r>
    </w:p>
    <w:p w:rsidR="00000000" w:rsidRDefault="005602E5">
      <w:pPr>
        <w:pStyle w:val="list0"/>
        <w:divId w:val="940184832"/>
      </w:pPr>
      <w:r>
        <w:t>(a)</w:t>
        <w:tab/>
      </w:r>
      <w:r>
        <w:rPr>
          <w:i/>
          <w:iCs/>
        </w:rPr>
        <w:t>The Citizens' Oversight Committee.</w:t>
      </w:r>
      <w:r>
        <w:t xml:space="preserve"> A Citizens' Oversight Committee ("Committee") will be formed to oversee the disbursement </w:t>
      </w:r>
      <w:r>
        <w:t>of the proceeds from the sale of the bonds. The Committee will have thirteen (13) members; one (1) residing in each of Miami-Dade County's thirteen (13) commission districts. Members of the Committee shall be residents of Miami-Dade County who possess outs</w:t>
      </w:r>
      <w:r>
        <w:t>tanding reputations for civic pride, integrity, responsibility and business or professional ability and experience or interest in the fields of recreation, conservation of natural resources or land use planning. The Committee, as defined below, will be com</w:t>
      </w:r>
      <w:r>
        <w:t>prised of members who are representative of the geographic, ethnic, racial and gender make-up of the County. The Committee shall be automatically dissolved as of October 18, 2010, ("Dissolution Date"). After the Dissolution Date, all duties or responsibili</w:t>
      </w:r>
      <w:r>
        <w:t xml:space="preserve">ties of the Committee shall be handled administratively by the Mayor or Mayor's designee until all available funds have been expended. </w:t>
      </w:r>
    </w:p>
    <w:p w:rsidR="00000000" w:rsidRDefault="005602E5">
      <w:pPr>
        <w:pStyle w:val="list1"/>
        <w:divId w:val="940184832"/>
      </w:pPr>
      <w:r>
        <w:t>(1)</w:t>
        <w:tab/>
      </w:r>
      <w:r>
        <w:rPr>
          <w:i/>
          <w:iCs/>
        </w:rPr>
        <w:t>Selection.</w:t>
      </w:r>
      <w:r>
        <w:t xml:space="preserve"> Each member of the Board of County Commissioners shall appoint one representative to the Committee. Each </w:t>
      </w:r>
      <w:r>
        <w:t xml:space="preserve">representative shall reside in the appointing commissioner's district. </w:t>
      </w:r>
    </w:p>
    <w:p w:rsidR="00000000" w:rsidRDefault="005602E5">
      <w:pPr>
        <w:pStyle w:val="list1"/>
        <w:divId w:val="940184832"/>
      </w:pPr>
      <w:r>
        <w:t>(2)</w:t>
        <w:tab/>
      </w:r>
      <w:r>
        <w:rPr>
          <w:i/>
          <w:iCs/>
        </w:rPr>
        <w:t>Term.</w:t>
      </w:r>
      <w:r>
        <w:t xml:space="preserve"> The Committee members shall serve two-year terms, and may be reappointed. The terms shall be staggered, with the representatives of the evenly-numbered districts scheduled fo</w:t>
      </w:r>
      <w:r>
        <w:t>r replacement or reappointment after the first year. Members of the Committee shall not be compensated for their services. Notwithstanding</w:t>
      </w:r>
      <w:hyperlink w:history="1" w:anchor="PTIIICOOR_CH2AD_ARTIBSTCRREBOGE_S2-11.38.2TEOF" r:id="rId17">
        <w:r>
          <w:rPr>
            <w:rStyle w:val="Hyperlink"/>
          </w:rPr>
          <w:t xml:space="preserve"> Se</w:t>
        </w:r>
        <w:r>
          <w:rPr>
            <w:rStyle w:val="Hyperlink"/>
          </w:rPr>
          <w:t>ction 2-11.38.2</w:t>
        </w:r>
      </w:hyperlink>
      <w:r>
        <w:t xml:space="preserve">, Committee members may be reappointed for more than eight (8) consecutive years without a two-year hiatus. </w:t>
      </w:r>
    </w:p>
    <w:p w:rsidR="00000000" w:rsidRDefault="005602E5">
      <w:pPr>
        <w:pStyle w:val="list1"/>
        <w:divId w:val="940184832"/>
      </w:pPr>
      <w:r>
        <w:t>(3)</w:t>
        <w:tab/>
      </w:r>
      <w:r>
        <w:rPr>
          <w:i/>
          <w:iCs/>
        </w:rPr>
        <w:t>Powers and duties.</w:t>
      </w:r>
      <w:r>
        <w:t xml:space="preserve"> The Committee shall have the following powers and duties: </w:t>
      </w:r>
    </w:p>
    <w:p w:rsidR="00000000" w:rsidRDefault="005602E5">
      <w:pPr>
        <w:pStyle w:val="list2"/>
        <w:divId w:val="940184832"/>
      </w:pPr>
      <w:r>
        <w:t>(i)</w:t>
        <w:tab/>
      </w:r>
      <w:r>
        <w:t>To oversee the deposit and disbursement of the</w:t>
      </w:r>
      <w:r>
        <w:t xml:space="preserve"> bond proceeds in accordance with the terms of this article; </w:t>
      </w:r>
    </w:p>
    <w:p w:rsidR="00000000" w:rsidRDefault="005602E5">
      <w:pPr>
        <w:pStyle w:val="list2"/>
        <w:divId w:val="940184832"/>
      </w:pPr>
      <w:r>
        <w:t>(ii)</w:t>
        <w:tab/>
      </w:r>
      <w:r>
        <w:t xml:space="preserve">To issue solicitations for all grants, to evaluate, disqualify, and rank challenge grant proposals, and to recommend the award of grants in accordance with the terms of this article; </w:t>
      </w:r>
    </w:p>
    <w:p w:rsidR="00000000" w:rsidRDefault="005602E5">
      <w:pPr>
        <w:pStyle w:val="list2"/>
        <w:divId w:val="940184832"/>
      </w:pPr>
      <w:r>
        <w:t>(iii)</w:t>
        <w:tab/>
      </w:r>
      <w:r>
        <w:t>To identify funding to reimburse the County for the reasonable costs of providing staff to the Committee, in the process of the oversight and grant management of this article, which funding may include amounts available under this Bond program if the cost</w:t>
      </w:r>
      <w:r>
        <w:t xml:space="preserve">s of staffing are related to individual projects authorized by this article; </w:t>
      </w:r>
    </w:p>
    <w:p w:rsidR="00000000" w:rsidRDefault="005602E5">
      <w:pPr>
        <w:pStyle w:val="list2"/>
        <w:divId w:val="940184832"/>
      </w:pPr>
      <w:r>
        <w:t>(iv)</w:t>
        <w:tab/>
      </w:r>
      <w:r>
        <w:t xml:space="preserve">To promulgate rules consistent with this article for the conduct of its meetings and the discharge of its responsibilities; </w:t>
      </w:r>
    </w:p>
    <w:p w:rsidR="00000000" w:rsidRDefault="005602E5">
      <w:pPr>
        <w:pStyle w:val="list2"/>
        <w:divId w:val="940184832"/>
      </w:pPr>
      <w:r>
        <w:t>(v)</w:t>
        <w:tab/>
      </w:r>
      <w:r>
        <w:t>To perform such other functions as are set f</w:t>
      </w:r>
      <w:r>
        <w:t>orth for the Committee in this article.</w:t>
      </w:r>
    </w:p>
    <w:p w:rsidR="00000000" w:rsidRDefault="005602E5">
      <w:pPr>
        <w:pStyle w:val="list1"/>
        <w:divId w:val="940184832"/>
      </w:pPr>
      <w:r>
        <w:t>(4)</w:t>
        <w:tab/>
      </w:r>
      <w:r>
        <w:rPr>
          <w:i/>
          <w:iCs/>
        </w:rPr>
        <w:t>Deposit of bond proceeds.</w:t>
      </w:r>
      <w:r>
        <w:t xml:space="preserve"> All proceeds of the sale of the bonds shall be delivered to the Director of the Finance Department of Miami-Dade County who shall deposit those proceeds in the Trust Account, </w:t>
      </w:r>
      <w:r>
        <w:t>not to be commingled with other funds of the County, to be disbursed solely for the purposes set forth in this article. Miami-Dade County, itself or through independent auditors, shall have the right at all times to audit the books and records of the Commi</w:t>
      </w:r>
      <w:r>
        <w:t xml:space="preserve">ttee. </w:t>
      </w:r>
    </w:p>
    <w:p w:rsidR="00000000" w:rsidRDefault="005602E5">
      <w:pPr>
        <w:pStyle w:val="list1"/>
        <w:divId w:val="940184832"/>
      </w:pPr>
      <w:r>
        <w:t>(5)</w:t>
        <w:tab/>
      </w:r>
      <w:r>
        <w:rPr>
          <w:i/>
          <w:iCs/>
        </w:rPr>
        <w:t>Staff.</w:t>
      </w:r>
      <w:r>
        <w:t xml:space="preserve"> The County Manager and the County Attorney shall provide to the Committee adequate staff and support services to enable the Committee to carry out its duties and responsibilities. </w:t>
      </w:r>
    </w:p>
    <w:p w:rsidR="00000000" w:rsidRDefault="005602E5">
      <w:pPr>
        <w:pStyle w:val="historynote"/>
        <w:divId w:val="940184832"/>
      </w:pPr>
      <w:r>
        <w:t>(Ord. No. 96-115, § 4, 7-16-96; Ord. No. 06-70, § 1, 5-9-</w:t>
      </w:r>
      <w:r>
        <w:t xml:space="preserve">06; Ord. No. 09-09, § 1, 1-22-09; Ord. No. 10-79, § 3, 11-4-10) </w:t>
      </w:r>
    </w:p>
    <w:p w:rsidR="00000000" w:rsidRDefault="005602E5">
      <w:pPr>
        <w:pStyle w:val="sec"/>
        <w:divId w:val="940184832"/>
      </w:pPr>
      <w:bookmarkStart w:name="BK_82AFEE1297C4F73C04E4B16E5AC1035F" w:id="15"/>
      <w:bookmarkEnd w:id="15"/>
      <w:r>
        <w:t>Sec. 25B-24.</w:t>
      </w:r>
      <w:r>
        <w:t xml:space="preserve"> </w:t>
      </w:r>
      <w:r>
        <w:t>Grant proposals.</w:t>
      </w:r>
    </w:p>
    <w:p w:rsidR="00000000" w:rsidRDefault="005602E5">
      <w:pPr>
        <w:pStyle w:val="list0"/>
        <w:divId w:val="940184832"/>
      </w:pPr>
      <w:r>
        <w:t>(a)</w:t>
        <w:tab/>
      </w:r>
      <w:r>
        <w:t>Any adjustments to the amount available from the bond proceeds which are required to be made to satisfy the costs of prov</w:t>
      </w:r>
      <w:r>
        <w:t xml:space="preserve">iding staff or other services to administer the bonds shall be made to the amounts available under this bond program, not to exceed one (1) percent. </w:t>
      </w:r>
    </w:p>
    <w:p w:rsidR="00000000" w:rsidRDefault="005602E5">
      <w:pPr>
        <w:pStyle w:val="list0"/>
        <w:divId w:val="940184832"/>
      </w:pPr>
      <w:r>
        <w:t>(b)</w:t>
        <w:tab/>
      </w:r>
      <w:r>
        <w:t>The following provisions of this</w:t>
      </w:r>
      <w:hyperlink w:history="1" w:anchor="PTIIICOOR_CH25BPAREGE_ARTIIISANEPAOR_S25B-24GRPR" r:id="rId18">
        <w:r>
          <w:rPr>
            <w:rStyle w:val="Hyperlink"/>
          </w:rPr>
          <w:t xml:space="preserve"> Section 25B-24</w:t>
        </w:r>
      </w:hyperlink>
      <w:r>
        <w:t xml:space="preserve">(b) shall apply to all grants to be awarded pursuant to this article: </w:t>
      </w:r>
    </w:p>
    <w:p w:rsidR="00000000" w:rsidRDefault="005602E5">
      <w:pPr>
        <w:pStyle w:val="list1"/>
        <w:divId w:val="940184832"/>
      </w:pPr>
      <w:r>
        <w:t>(1)</w:t>
        <w:tab/>
      </w:r>
      <w:r>
        <w:t>Individual applications for grants or per capita allocations pursuant to</w:t>
      </w:r>
      <w:hyperlink w:history="1" w:anchor="PTIIICOOR_CH25BPAREGE_ARTIIISANEPAOR_S25B-22BO" r:id="rId19">
        <w:r>
          <w:rPr>
            <w:rStyle w:val="Hyperlink"/>
          </w:rPr>
          <w:t xml:space="preserve"> Section 25B-22</w:t>
        </w:r>
      </w:hyperlink>
      <w:r>
        <w:t xml:space="preserve"> shall be submitted to the Committee for approval as to conformity with the requirements of this article and for Committee review and recommendation. The applicati</w:t>
      </w:r>
      <w:r>
        <w:t>on shall be accompanied by an authorizing resolution from the governing body of the applicant public agency that the project (or projects) for which the grant or allocation is sought is an important park and recreation project (or projects) which will bene</w:t>
      </w:r>
      <w:r>
        <w:t xml:space="preserve">fit all residents of Miami-Dade County and that operating, management and programming funds are included in budget. </w:t>
      </w:r>
    </w:p>
    <w:p w:rsidR="00000000" w:rsidRDefault="005602E5">
      <w:pPr>
        <w:pStyle w:val="list1"/>
        <w:divId w:val="940184832"/>
      </w:pPr>
      <w:r>
        <w:t>(2)</w:t>
        <w:tab/>
      </w:r>
      <w:r>
        <w:t>Not more than seventeen (17) percent of monies awarded under any grant may be utilized for project planning, design and administration.</w:t>
      </w:r>
      <w:r>
        <w:t xml:space="preserve"> </w:t>
      </w:r>
    </w:p>
    <w:p w:rsidR="00000000" w:rsidRDefault="005602E5">
      <w:pPr>
        <w:pStyle w:val="list1"/>
        <w:divId w:val="940184832"/>
      </w:pPr>
      <w:r>
        <w:t>(3)</w:t>
        <w:tab/>
      </w:r>
      <w:r>
        <w:t>The interest earned on proceeds of the bonds which have been sold but not allocated shall be used for acquisition of park, open space and natural areas to meet the future needs of the growing population of Miami-Dade County. Requests for use of these</w:t>
      </w:r>
      <w:r>
        <w:t xml:space="preserve"> interest funds may be made to the Committee by public agencies and not-for-profit organizations, with all title vesting in a public agency. </w:t>
      </w:r>
    </w:p>
    <w:p w:rsidR="00000000" w:rsidRDefault="005602E5">
      <w:pPr>
        <w:pStyle w:val="list1"/>
        <w:divId w:val="940184832"/>
      </w:pPr>
      <w:r>
        <w:t>(4)</w:t>
        <w:tab/>
      </w:r>
      <w:r>
        <w:t>After approval of this article by special election, administrative rules governing the implementation of the O</w:t>
      </w:r>
      <w:r>
        <w:t>rdinance shall be prepared by the County Manager. Such rules shall include a timeline for the grant programs identified in</w:t>
      </w:r>
      <w:hyperlink w:history="1" w:anchor="PTIIICOOR_CH25BPAREGE_ARTIIISANEPAOR_S25B-22BO" r:id="rId20">
        <w:r>
          <w:rPr>
            <w:rStyle w:val="Hyperlink"/>
          </w:rPr>
          <w:t xml:space="preserve"> Section 25B-2</w:t>
        </w:r>
        <w:r>
          <w:rPr>
            <w:rStyle w:val="Hyperlink"/>
          </w:rPr>
          <w:t>2</w:t>
        </w:r>
      </w:hyperlink>
      <w:r>
        <w:t xml:space="preserve"> of this article, criteria and procedures for evaluating such grants, notification of affected public agencies and not-for-profit organizations of the proposed criteria and procedures and of the dates of public workshops to be held throughout the County f</w:t>
      </w:r>
      <w:r>
        <w:t>or the purpose of receiving public input on the proposed criteria and procedures. After at least one (1) public workshop for each of the grant programs referenced in</w:t>
      </w:r>
      <w:hyperlink w:history="1" w:anchor="PTIIICOOR_CH25BPAREGE_ARTIIISANEPAOR_S25B-22BO" r:id="rId21">
        <w:r>
          <w:rPr>
            <w:rStyle w:val="Hyperlink"/>
          </w:rPr>
          <w:t xml:space="preserve"> Section 25B-22</w:t>
        </w:r>
      </w:hyperlink>
      <w:r>
        <w:t>, the Committee shall adopt final criteria and procedures for evaluating grants for each program, and shall notify affected public agencies and not-for-profit organizations as to the application timeline, criteri</w:t>
      </w:r>
      <w:r>
        <w:t xml:space="preserve">a and procedures for evaluating challenge grants for each program. Grants shall be awarded by the Board of County Commissioners upon recommendation of the Committee in accordance with this article and the rules adopted in accordance with this provision. </w:t>
      </w:r>
    </w:p>
    <w:p w:rsidR="00000000" w:rsidRDefault="005602E5">
      <w:pPr>
        <w:pStyle w:val="list1"/>
        <w:divId w:val="940184832"/>
      </w:pPr>
      <w:r>
        <w:t>(5)</w:t>
        <w:tab/>
      </w:r>
      <w:r>
        <w:t>A public agency may enter into an agreement with one (1) or more not-for-profit organizations for the purpose of carrying out a grant pursuant to this article, subject to the requirements of</w:t>
      </w:r>
      <w:hyperlink w:history="1" w:anchor="PTIIICOOR_CH25BPAREGE_ARTIIISANEPAOR_S25B-28ENRE" r:id="rId22">
        <w:r>
          <w:rPr>
            <w:rStyle w:val="Hyperlink"/>
          </w:rPr>
          <w:t xml:space="preserve"> Section 25B-28</w:t>
        </w:r>
      </w:hyperlink>
      <w:r>
        <w:t xml:space="preserve"> </w:t>
      </w:r>
    </w:p>
    <w:p w:rsidR="00000000" w:rsidRDefault="005602E5">
      <w:pPr>
        <w:pStyle w:val="list1"/>
        <w:divId w:val="940184832"/>
      </w:pPr>
      <w:r>
        <w:t>(6)</w:t>
        <w:tab/>
      </w:r>
      <w:r>
        <w:t xml:space="preserve">Each public agency shall make every effort to employ local residents, and particularly youth, from the area in which proposed projects are located. </w:t>
      </w:r>
    </w:p>
    <w:p w:rsidR="00000000" w:rsidRDefault="005602E5">
      <w:pPr>
        <w:pStyle w:val="list1"/>
        <w:divId w:val="940184832"/>
      </w:pPr>
      <w:r>
        <w:t>(7)</w:t>
        <w:tab/>
      </w:r>
      <w:r>
        <w:t>Each public agency shal</w:t>
      </w:r>
      <w:r>
        <w:t xml:space="preserve">l make every effort to work with not-for-profit organizations with a demonstrated history of youth employment and training, gang prevention and intervention, and environmental preservation and land conservation. </w:t>
      </w:r>
    </w:p>
    <w:p w:rsidR="00000000" w:rsidRDefault="005602E5">
      <w:pPr>
        <w:pStyle w:val="list1"/>
        <w:divId w:val="940184832"/>
      </w:pPr>
      <w:r>
        <w:t>(8)</w:t>
        <w:tab/>
      </w:r>
      <w:r>
        <w:t>Funds that are granted pursuant to</w:t>
      </w:r>
      <w:hyperlink w:history="1" w:anchor="PTIIICOOR_CH25BPAREGE_ARTIIISANEPAOR_S25B-22BO" r:id="rId23">
        <w:r>
          <w:rPr>
            <w:rStyle w:val="Hyperlink"/>
          </w:rPr>
          <w:t xml:space="preserve"> Section 25B-22</w:t>
        </w:r>
      </w:hyperlink>
      <w:r>
        <w:t xml:space="preserve"> for the purposes of development, improvement, rehabilitation or restoration shall be expended for these purposes only on land</w:t>
      </w:r>
      <w:r>
        <w:t xml:space="preserve">s owned or leased by a public agency. Funds may also be utilized for projects on lands for which the public agency holds a lease or other use agreement for an unexpired minimum term of twenty-five (25) years. </w:t>
      </w:r>
    </w:p>
    <w:p w:rsidR="00000000" w:rsidRDefault="005602E5">
      <w:pPr>
        <w:pStyle w:val="list1"/>
        <w:divId w:val="940184832"/>
      </w:pPr>
      <w:r>
        <w:t>(9)</w:t>
        <w:tab/>
      </w:r>
      <w:r>
        <w:t>In projects where funds are allocated purs</w:t>
      </w:r>
      <w:r>
        <w:t>uant to</w:t>
      </w:r>
      <w:hyperlink w:history="1" w:anchor="PTIIICOOR_CH25BPAREGE_ARTIIISANEPAOR_S25B-22BO" r:id="rId24">
        <w:r>
          <w:rPr>
            <w:rStyle w:val="Hyperlink"/>
          </w:rPr>
          <w:t xml:space="preserve"> Section 25B-22</w:t>
        </w:r>
      </w:hyperlink>
      <w:r>
        <w:t xml:space="preserve"> for park and facility development, every effort shall be made to use non-invasive, drought-resistant, or xeriscap</w:t>
      </w:r>
      <w:r>
        <w:t xml:space="preserve">e landscape material, water-conserving irrigation systems and energy-efficient fixtures, except when such use can be shown to be unfeasible. When projects involve the rehabilitation of existing irrigation systems or the creation of new irrigation systems, </w:t>
      </w:r>
      <w:r>
        <w:t xml:space="preserve">reclaimed water should be used whenever possible and priority shall be given to development of reclaimed water irrigation systems. </w:t>
      </w:r>
    </w:p>
    <w:p w:rsidR="00000000" w:rsidRDefault="005602E5">
      <w:pPr>
        <w:pStyle w:val="list1"/>
        <w:divId w:val="940184832"/>
      </w:pPr>
      <w:r>
        <w:t>(10)</w:t>
        <w:tab/>
      </w:r>
      <w:r>
        <w:t xml:space="preserve">The minimum amount that an applicant may request for any individual project is ten </w:t>
      </w:r>
      <w:r>
        <w:t>thousand dollars ($10,000.00). Any agency may allocate all or a portion of its per capita share to a regional or state project or another neighboring city, and all agencies shall be encouraged to form partnerships to leverage other available funds with the</w:t>
      </w:r>
      <w:r>
        <w:t xml:space="preserve"> Miami-Dade County School Board, other public agencies, and not-for-profit organizations for park and recreation purposes. </w:t>
      </w:r>
    </w:p>
    <w:p w:rsidR="00000000" w:rsidRDefault="005602E5">
      <w:pPr>
        <w:pStyle w:val="list1"/>
        <w:divId w:val="940184832"/>
      </w:pPr>
      <w:r>
        <w:t>(11)</w:t>
        <w:tab/>
      </w:r>
      <w:r>
        <w:t xml:space="preserve">Funds made available for approved projects from grants shall be expended or encumbered by the recipient within three (3) years </w:t>
      </w:r>
      <w:r>
        <w:t xml:space="preserve">of the date when such funds are first made available unless an extension is authorized pursuant to the express terms of this article. Any such grant funds that are not expended or encumbered by the recipient within such period, shall be made available for </w:t>
      </w:r>
      <w:r>
        <w:t>award for one (1) or more of the classes of expenditures specified in</w:t>
      </w:r>
      <w:hyperlink w:history="1" w:anchor="PTIIICOOR_CH25BPAREGE_ARTIIISANEPAOR_S25B-22BO" r:id="rId25">
        <w:r>
          <w:rPr>
            <w:rStyle w:val="Hyperlink"/>
          </w:rPr>
          <w:t xml:space="preserve"> Section 25B-22</w:t>
        </w:r>
      </w:hyperlink>
      <w:r>
        <w:t xml:space="preserve"> that the Committee deems to be of the highest prior</w:t>
      </w:r>
      <w:r>
        <w:t xml:space="preserve">ity. </w:t>
      </w:r>
    </w:p>
    <w:p w:rsidR="00000000" w:rsidRDefault="005602E5">
      <w:pPr>
        <w:pStyle w:val="list2"/>
        <w:divId w:val="940184832"/>
      </w:pPr>
      <w:r>
        <w:t>i.</w:t>
        <w:tab/>
      </w:r>
      <w:r>
        <w:t xml:space="preserve">Upon deposit into the Trust Account, the original recipient of the ends shall have no further claim to the funds. </w:t>
      </w:r>
    </w:p>
    <w:p w:rsidR="00000000" w:rsidRDefault="005602E5">
      <w:pPr>
        <w:pStyle w:val="list2"/>
        <w:divId w:val="940184832"/>
      </w:pPr>
      <w:r>
        <w:t>ii.</w:t>
        <w:tab/>
      </w:r>
      <w:r>
        <w:t>Trust Account funds shall be made available pursuant to the programs outlined in</w:t>
      </w:r>
      <w:hyperlink w:history="1" w:anchor="PTIIICOOR_CH25BPAREGE_ARTIIISANEPAOR_S25B-22BO" r:id="rId26">
        <w:r>
          <w:rPr>
            <w:rStyle w:val="Hyperlink"/>
          </w:rPr>
          <w:t xml:space="preserve"> Section 25B-22</w:t>
        </w:r>
      </w:hyperlink>
      <w:r>
        <w:t>, and shall be prioritized for heavily used parks and recreation facilities in underserved areas of the County or municipalities. When funds are to be used for the acqui</w:t>
      </w:r>
      <w:r>
        <w:t xml:space="preserve">sition of property, priority shall be given to acquiring land for park, recreation or natural areas purposes in densely populated, underserved areas with documented deficiencies in park, recreation or open space opportunities. </w:t>
      </w:r>
    </w:p>
    <w:p w:rsidR="00000000" w:rsidRDefault="005602E5">
      <w:pPr>
        <w:pStyle w:val="list1"/>
        <w:divId w:val="940184832"/>
      </w:pPr>
      <w:r>
        <w:t>(12)</w:t>
        <w:tab/>
      </w:r>
      <w:r>
        <w:t>The scope of each per c</w:t>
      </w:r>
      <w:r>
        <w:t>apita project, shall remain as defined in the application for bond funds and this article. If there are required modifications to the scope of the specific project, the recipient may alter the scope of the specific project, as defined by the administrative</w:t>
      </w:r>
      <w:r>
        <w:t xml:space="preserve"> rules. The modifications shall be subject to approval by the Committee. The full amount allocated for a specific project as detailed within the application and this article shall be used for the designated project and not transferred to another project. </w:t>
      </w:r>
    </w:p>
    <w:p w:rsidR="00000000" w:rsidRDefault="005602E5">
      <w:pPr>
        <w:pStyle w:val="list1"/>
        <w:divId w:val="940184832"/>
      </w:pPr>
      <w:r>
        <w:t>(13)</w:t>
        <w:tab/>
      </w:r>
      <w:r>
        <w:t>If bond proceeds have not been expended or encumbered within the periods allowed, the recipient agencies may submit to the Committee for review and approval in its discretion a plan for expenditure or encumbrance of the funds in accordance with the pu</w:t>
      </w:r>
      <w:r>
        <w:t xml:space="preserve">rposes of this article within the municipality or area of the County in which the funds were originally authorized to be expended. </w:t>
      </w:r>
    </w:p>
    <w:p w:rsidR="00000000" w:rsidRDefault="005602E5">
      <w:pPr>
        <w:pStyle w:val="list0"/>
        <w:divId w:val="940184832"/>
      </w:pPr>
      <w:r>
        <w:t>(c)</w:t>
        <w:tab/>
      </w:r>
      <w:r>
        <w:rPr>
          <w:i/>
          <w:iCs/>
        </w:rPr>
        <w:t>Challenge grants.</w:t>
      </w:r>
      <w:r>
        <w:t xml:space="preserve"> In addition to those provisions contained in</w:t>
      </w:r>
      <w:hyperlink w:history="1" w:anchor="PTIIICOOR_CH25BPAREGE_ARTIIISANEPAOR_S25B-24GRPR" r:id="rId27">
        <w:r>
          <w:rPr>
            <w:rStyle w:val="Hyperlink"/>
          </w:rPr>
          <w:t xml:space="preserve"> Section 25B-24</w:t>
        </w:r>
      </w:hyperlink>
      <w:r>
        <w:t>(b) above, the following provisions shall apply to challenge grants to be awarded pursuant to</w:t>
      </w:r>
      <w:hyperlink w:history="1" w:anchor="PTIIICOOR_CH25BPAREGE_ARTIIISANEPAOR_S25B-22BO" r:id="rId28">
        <w:r>
          <w:rPr>
            <w:rStyle w:val="Hyperlink"/>
          </w:rPr>
          <w:t xml:space="preserve"> Section 25B-22</w:t>
        </w:r>
      </w:hyperlink>
      <w:r>
        <w:t xml:space="preserve">(c) of this article. </w:t>
      </w:r>
    </w:p>
    <w:p w:rsidR="00000000" w:rsidRDefault="005602E5">
      <w:pPr>
        <w:pStyle w:val="list1"/>
        <w:divId w:val="940184832"/>
      </w:pPr>
      <w:r>
        <w:t>(1)</w:t>
        <w:tab/>
      </w:r>
      <w:r>
        <w:t>The funds authorized in</w:t>
      </w:r>
      <w:hyperlink w:history="1" w:anchor="PTIIICOOR_CH25BPAREGE_ARTIIISANEPAOR_S25B-22BO" r:id="rId29">
        <w:r>
          <w:rPr>
            <w:rStyle w:val="Hyperlink"/>
          </w:rPr>
          <w:t xml:space="preserve"> Section 25B-22</w:t>
        </w:r>
      </w:hyperlink>
      <w:r>
        <w:t>(c) shall be availabl</w:t>
      </w:r>
      <w:r>
        <w:t xml:space="preserve">e as grants on a challenge basis to public agencies and not-for-profit organizations. </w:t>
      </w:r>
    </w:p>
    <w:p w:rsidR="00000000" w:rsidRDefault="005602E5">
      <w:pPr>
        <w:pStyle w:val="list1"/>
        <w:divId w:val="940184832"/>
      </w:pPr>
      <w:r>
        <w:t>(2)</w:t>
        <w:tab/>
      </w:r>
      <w:r>
        <w:t>An extension not to exceed two (2) years beyond the three-year time limit for expenditure or encumbrance of grant funds may be authorized by the Committee for reason</w:t>
      </w:r>
      <w:r>
        <w:t xml:space="preserve">able cause. </w:t>
      </w:r>
    </w:p>
    <w:p w:rsidR="00000000" w:rsidRDefault="005602E5">
      <w:pPr>
        <w:pStyle w:val="list1"/>
        <w:divId w:val="940184832"/>
      </w:pPr>
      <w:r>
        <w:t>(3)</w:t>
        <w:tab/>
      </w:r>
      <w:r>
        <w:t xml:space="preserve">These grants shall be limited for acquisition of lands for public use, and improvements or development to publicly owned lands and facilities. </w:t>
      </w:r>
    </w:p>
    <w:p w:rsidR="00000000" w:rsidRDefault="005602E5">
      <w:pPr>
        <w:pStyle w:val="list1"/>
        <w:divId w:val="940184832"/>
      </w:pPr>
      <w:r>
        <w:t>(4)</w:t>
        <w:tab/>
      </w:r>
      <w:r>
        <w:t>Pursuant to</w:t>
      </w:r>
      <w:hyperlink w:history="1" w:anchor="PTIIICOOR_CH25BPAREGE_ARTIIISANEPAOR_S25B-22BO" r:id="rId30">
        <w:r>
          <w:rPr>
            <w:rStyle w:val="Hyperlink"/>
          </w:rPr>
          <w:t xml:space="preserve"> Section 25B-22</w:t>
        </w:r>
      </w:hyperlink>
      <w:r>
        <w:t>(c)(1), an amount not to exceed seven million dollars ($7,000,000.00), shall be dedicated to park, recreation and open space acquisition and development in areas which: (i) are identified as economical</w:t>
      </w:r>
      <w:r>
        <w:t>ly and/or socially disadvantaged consistent with Federal guidelines, where at least fifty-one (51) percent of residents live at or below 80 percent of the County's median income, and (ii) which possess a documented deficiency in recreation and open space o</w:t>
      </w:r>
      <w:r>
        <w:t xml:space="preserve">pportunities defined as the difference between area supply and area demand for facilities, programs and services. </w:t>
      </w:r>
    </w:p>
    <w:p w:rsidR="00000000" w:rsidRDefault="005602E5">
      <w:pPr>
        <w:pStyle w:val="list1"/>
        <w:divId w:val="940184832"/>
      </w:pPr>
      <w:r>
        <w:t>(5)</w:t>
        <w:tab/>
      </w:r>
      <w:r>
        <w:t>In the evaluation of grant applications pursuant to</w:t>
      </w:r>
      <w:hyperlink w:history="1" w:anchor="PTIIICOOR_CH25BPAREGE_ARTIIISANEPAOR_S25B-22BO" r:id="rId31">
        <w:r>
          <w:rPr>
            <w:rStyle w:val="Hyperlink"/>
          </w:rPr>
          <w:t xml:space="preserve"> Section 25B-22</w:t>
        </w:r>
      </w:hyperlink>
      <w:r>
        <w:t>(c)(i), priority shall be given first to correct vestiges of past discrimination and second to those which meet one (1) or more of the following criteria: (i) joint application by a public agency and a not-f</w:t>
      </w:r>
      <w:r>
        <w:t>or-profit organization whose primary focus is working with youth; (ii) application by a not-for-profit organization with a demonstrated history of gang intervention, gang prevention, ability to work with at-risk youth, and prior experience in such activiti</w:t>
      </w:r>
      <w:r>
        <w:t>es through grants from public agencies; (iii) application by not-for-profit organization which agrees to and can demonstrate the ability to operate and maintain the facility to be constructed or developed on a long-term basis; (iv) application by a not-for</w:t>
      </w:r>
      <w:r>
        <w:t xml:space="preserve">-profit organization with experience in park and open space acquisition and preservation. </w:t>
      </w:r>
    </w:p>
    <w:p w:rsidR="00000000" w:rsidRDefault="005602E5">
      <w:pPr>
        <w:pStyle w:val="list0"/>
        <w:divId w:val="940184832"/>
      </w:pPr>
      <w:r>
        <w:t>(d)</w:t>
        <w:tab/>
      </w:r>
      <w:r>
        <w:rPr>
          <w:i/>
          <w:iCs/>
        </w:rPr>
        <w:t>Grants for specific county and municipal projects.</w:t>
      </w:r>
      <w:r>
        <w:t xml:space="preserve"> In addition to those provisions contained in</w:t>
      </w:r>
      <w:hyperlink w:history="1" w:anchor="PTIIICOOR_CH25BPAREGE_ARTIIISANEPAOR_S25B-24GRPR" r:id="rId32">
        <w:r>
          <w:rPr>
            <w:rStyle w:val="Hyperlink"/>
          </w:rPr>
          <w:t xml:space="preserve"> Section 25B-24</w:t>
        </w:r>
      </w:hyperlink>
      <w:r>
        <w:t>(b) above, the following provisions shall apply to the grants for specific County and municipal projects to be awarded pursuant to Sections</w:t>
      </w:r>
      <w:hyperlink w:history="1" w:anchor="PTIIICOOR_CH25BPAREGE_ARTIIISANEPAOR_S25B-22BO" r:id="rId33">
        <w:r>
          <w:rPr>
            <w:rStyle w:val="Hyperlink"/>
          </w:rPr>
          <w:t xml:space="preserve"> 25B-22</w:t>
        </w:r>
      </w:hyperlink>
      <w:r>
        <w:t xml:space="preserve">(a)(2) and (b) of this article. </w:t>
      </w:r>
    </w:p>
    <w:p w:rsidR="00000000" w:rsidRDefault="005602E5">
      <w:pPr>
        <w:pStyle w:val="list1"/>
        <w:divId w:val="940184832"/>
      </w:pPr>
      <w:r>
        <w:t>(1)</w:t>
        <w:tab/>
      </w:r>
      <w:r>
        <w:t xml:space="preserve">These grants shall be limited for acquisition of lands for public use, and improvements </w:t>
      </w:r>
      <w:r>
        <w:t>or development to publicly owned lands and facilities for the purposes set forth in Sections</w:t>
      </w:r>
      <w:hyperlink w:history="1" w:anchor="PTIIICOOR_CH25BPAREGE_ARTIIISANEPAOR_S25B-22BO" r:id="rId34">
        <w:r>
          <w:rPr>
            <w:rStyle w:val="Hyperlink"/>
          </w:rPr>
          <w:t xml:space="preserve"> 25B-22</w:t>
        </w:r>
      </w:hyperlink>
      <w:r>
        <w:t xml:space="preserve">(a)(2) and (b) of this article. </w:t>
      </w:r>
    </w:p>
    <w:p w:rsidR="00000000" w:rsidRDefault="005602E5">
      <w:pPr>
        <w:pStyle w:val="list1"/>
        <w:divId w:val="940184832"/>
      </w:pPr>
      <w:r>
        <w:t>(2)</w:t>
        <w:tab/>
      </w:r>
      <w:r>
        <w:t xml:space="preserve">An extension not to exceed two (2) years beyond the three-year time limit for expenditure or encumbrance of grant funds may be authorized by the Committee for reasonable cause. </w:t>
      </w:r>
    </w:p>
    <w:p w:rsidR="00000000" w:rsidRDefault="005602E5">
      <w:pPr>
        <w:pStyle w:val="historynote"/>
        <w:divId w:val="940184832"/>
      </w:pPr>
      <w:r>
        <w:t xml:space="preserve">(Ord. No. 96-115, § 5, 7-16-96) </w:t>
      </w:r>
    </w:p>
    <w:p w:rsidR="00000000" w:rsidRDefault="005602E5">
      <w:pPr>
        <w:pStyle w:val="sec"/>
        <w:divId w:val="940184832"/>
      </w:pPr>
      <w:bookmarkStart w:name="BK_0E49028B8444C9D6D6C8B0CFB0AA52E5" w:id="16"/>
      <w:bookmarkEnd w:id="16"/>
      <w:r>
        <w:t>Sec. 25B-</w:t>
      </w:r>
      <w:r>
        <w:t>25.</w:t>
      </w:r>
      <w:r>
        <w:t xml:space="preserve"> </w:t>
      </w:r>
      <w:r>
        <w:t>Disbursement of funds.</w:t>
      </w:r>
    </w:p>
    <w:p w:rsidR="00000000" w:rsidRDefault="005602E5">
      <w:pPr>
        <w:pStyle w:val="list0"/>
        <w:divId w:val="940184832"/>
      </w:pPr>
      <w:r>
        <w:t>(a)</w:t>
        <w:tab/>
      </w:r>
      <w:r>
        <w:t>No funds authorized under</w:t>
      </w:r>
      <w:hyperlink w:history="1" w:anchor="PTIIICOOR_CH25BPAREGE_ARTIIISANEPAOR_S25B-22BO" r:id="rId35">
        <w:r>
          <w:rPr>
            <w:rStyle w:val="Hyperlink"/>
          </w:rPr>
          <w:t xml:space="preserve"> Section 25B-22</w:t>
        </w:r>
      </w:hyperlink>
      <w:r>
        <w:t xml:space="preserve"> may be disbursed to any recipient unless the recipient agrees: </w:t>
      </w:r>
    </w:p>
    <w:p w:rsidR="00000000" w:rsidRDefault="005602E5">
      <w:pPr>
        <w:pStyle w:val="list1"/>
        <w:divId w:val="940184832"/>
      </w:pPr>
      <w:r>
        <w:t>(1)</w:t>
        <w:tab/>
      </w:r>
      <w:r>
        <w:t>That grants for all programs in</w:t>
      </w:r>
      <w:hyperlink w:history="1" w:anchor="PTIIICOOR_CH25BPAREGE_ARTIIISANEPAOR_S25B-22BO" r:id="rId36">
        <w:r>
          <w:rPr>
            <w:rStyle w:val="Hyperlink"/>
          </w:rPr>
          <w:t xml:space="preserve"> Section 25B-22</w:t>
        </w:r>
      </w:hyperlink>
      <w:r>
        <w:t xml:space="preserve"> shall be made available at least once every twelve (12) months with public notice fro</w:t>
      </w:r>
      <w:r>
        <w:t xml:space="preserve">m the County. </w:t>
      </w:r>
    </w:p>
    <w:p w:rsidR="00000000" w:rsidRDefault="005602E5">
      <w:pPr>
        <w:pStyle w:val="list1"/>
        <w:divId w:val="940184832"/>
      </w:pPr>
      <w:r>
        <w:t>(2)</w:t>
        <w:tab/>
      </w:r>
      <w:r>
        <w:t>To maintain and operate in perpetuity the property acquired, developed, improved, rehabilitated or restored with the funds, except where leases are in effect. The recipient or its successors in interest in the property may transfer the r</w:t>
      </w:r>
      <w:r>
        <w:t>esponsibility to maintain and operate the property to another public agency or another not-for-profit organization in accordance with this section. The recipient agency must provide adequate programming for any new facilities constructed with proceeds of t</w:t>
      </w:r>
      <w:r>
        <w:t xml:space="preserve">he bonds. </w:t>
      </w:r>
    </w:p>
    <w:p w:rsidR="00000000" w:rsidRDefault="005602E5">
      <w:pPr>
        <w:pStyle w:val="list1"/>
        <w:divId w:val="940184832"/>
      </w:pPr>
      <w:r>
        <w:t>(3)</w:t>
        <w:tab/>
      </w:r>
      <w:r>
        <w:t xml:space="preserve">To use the property only for the purposes of this article and to make no other use, sale, or disposition of the property, except as provided in subdivision (b) of this section. </w:t>
      </w:r>
    </w:p>
    <w:p w:rsidR="00000000" w:rsidRDefault="005602E5">
      <w:pPr>
        <w:pStyle w:val="list1"/>
        <w:divId w:val="940184832"/>
      </w:pPr>
      <w:r>
        <w:t>(4)</w:t>
        <w:tab/>
      </w:r>
      <w:r>
        <w:t>Any beach, park or other public facility acquired, develope</w:t>
      </w:r>
      <w:r>
        <w:t xml:space="preserve">d, rehabilitated or restored with funds from this act shall be open and accessible to the public without discrimination as to race, color, gender, age, religious belief, residence, national origin, marital status, or disability. </w:t>
      </w:r>
    </w:p>
    <w:p w:rsidR="00000000" w:rsidRDefault="005602E5">
      <w:pPr>
        <w:pStyle w:val="list1"/>
        <w:divId w:val="940184832"/>
      </w:pPr>
      <w:r>
        <w:t>(5)</w:t>
        <w:tab/>
      </w:r>
      <w:r>
        <w:t>In order to maintain t</w:t>
      </w:r>
      <w:r>
        <w:t>he exclusion from gross income for federal income tax purposes of the interest on any bonds, notes or other evidences of indebtedness issued for purposes of this article, each recipient of funds pursuant to this article covenants to comply with each applic</w:t>
      </w:r>
      <w:r>
        <w:t xml:space="preserve">able requirement of Section 103 and Sections 141 through 150 of the Internal Revenue Code of 1986, as amended. Each recipient of funds shall agree in writing to the conditions specified in paragraphs (2), (3), and (4) of this section. </w:t>
      </w:r>
    </w:p>
    <w:p w:rsidR="00000000" w:rsidRDefault="005602E5">
      <w:pPr>
        <w:pStyle w:val="b0"/>
        <w:divId w:val="940184832"/>
      </w:pPr>
      <w:r>
        <w:t>The conditions speci</w:t>
      </w:r>
      <w:r>
        <w:t>fied in paragraphs (2), (3), (4) and (5) of this section shall not prevent the transfer of property acquired, developed, improved, rehabilitated or restored with funds authorized pursuant to</w:t>
      </w:r>
      <w:hyperlink w:history="1" w:anchor="PTIIICOOR_CH25BPAREGE_ARTIIISANEPAOR_S25B-22BO" r:id="rId37">
        <w:r>
          <w:rPr>
            <w:rStyle w:val="Hyperlink"/>
          </w:rPr>
          <w:t xml:space="preserve"> Section 25B-22</w:t>
        </w:r>
      </w:hyperlink>
      <w:r>
        <w:t xml:space="preserve"> of this article from the recipient to any other public agency, to a not-for-profit organization authorized to acquire, develop, improve or restore public real property for park, wildlife</w:t>
      </w:r>
      <w:r>
        <w:t xml:space="preserve">, recreation, open space or gang prevention and intervention purposes, to the State of Florida or to the National Park Service, provided that any such successor to the recipient assumes the obligations imposed by such conditions. </w:t>
      </w:r>
    </w:p>
    <w:p w:rsidR="00000000" w:rsidRDefault="005602E5">
      <w:pPr>
        <w:pStyle w:val="list0"/>
        <w:divId w:val="940184832"/>
      </w:pPr>
      <w:r>
        <w:t>(b)</w:t>
        <w:tab/>
      </w:r>
      <w:r>
        <w:t>Any changes in use of</w:t>
      </w:r>
      <w:r>
        <w:t xml:space="preserve"> any property acquired through grants pursuant to this article must be maintained in perpetuity for public park and recreation purposes. If the use of the property acquired through grants pursuant to this article is changed to one (1) other than a use perm</w:t>
      </w:r>
      <w:r>
        <w:t>itted under the category from which the funds were provided, or the property is sold or otherwise disposed of, an amount equal to the (1) amount of the grant, (2) the fair market value of the real property, or (3) the proceeds from the portion of such prop</w:t>
      </w:r>
      <w:r>
        <w:t>erty acquired, developed, improved, rehabilitated or restored with the grant, whichever is greater, shall be used by the recipient, subject to subdivision (a) of this section, for a purpose authorized in that category or shall be reimbursed to the Trust Ac</w:t>
      </w:r>
      <w:r>
        <w:t xml:space="preserve">count and be available for appropriation only for a use authorized in that category. </w:t>
      </w:r>
    </w:p>
    <w:p w:rsidR="00000000" w:rsidRDefault="005602E5">
      <w:pPr>
        <w:pStyle w:val="b0"/>
        <w:divId w:val="940184832"/>
      </w:pPr>
      <w:r>
        <w:t>If the property sold or otherwise disposed of is less than the entire interest in the property originally acquired, developed, improved, rehabilitated or restored with th</w:t>
      </w:r>
      <w:r>
        <w:t>e grant, an amount equal to the proceeds or the fair market value of the property interest sold or otherwise disposed of, whichever is greater, shall be used by the grantee, subject to subdivision (a) of this section, for a purpose authorized in that categ</w:t>
      </w:r>
      <w:r>
        <w:t>ory or shall be reimbursed to the general fund and be available for appropriation only for a use authorized in that category. Nothing in this</w:t>
      </w:r>
      <w:hyperlink w:history="1" w:anchor="PTIIICOOR_CH25BPAREGE_ARTIIISANEPAOR_S25B-25DIFU" r:id="rId38">
        <w:r>
          <w:rPr>
            <w:rStyle w:val="Hyperlink"/>
          </w:rPr>
          <w:t xml:space="preserve"> Section 25B-25</w:t>
        </w:r>
      </w:hyperlink>
      <w:r>
        <w:t xml:space="preserve"> shall limit a public agency from transferring property acquired pursuant to this article to the National Park Service or the State Park System, with or without consideration. </w:t>
      </w:r>
    </w:p>
    <w:p w:rsidR="00000000" w:rsidRDefault="005602E5">
      <w:pPr>
        <w:pStyle w:val="list0"/>
        <w:divId w:val="940184832"/>
      </w:pPr>
      <w:r>
        <w:t>(c)</w:t>
        <w:tab/>
      </w:r>
      <w:r>
        <w:t>Awards pursuant to this article shall first be availa</w:t>
      </w:r>
      <w:r>
        <w:t xml:space="preserve">ble during the fiscal year in which bond proceeds are initially available. </w:t>
      </w:r>
    </w:p>
    <w:p w:rsidR="00000000" w:rsidRDefault="005602E5">
      <w:pPr>
        <w:pStyle w:val="historynote"/>
        <w:divId w:val="940184832"/>
      </w:pPr>
      <w:r>
        <w:t xml:space="preserve">(Ord. No. 96-115, § 6, 7-16-96) </w:t>
      </w:r>
    </w:p>
    <w:p w:rsidR="00000000" w:rsidRDefault="005602E5">
      <w:pPr>
        <w:pStyle w:val="sec"/>
        <w:divId w:val="940184832"/>
      </w:pPr>
      <w:bookmarkStart w:name="BK_41D4A1A2EABCBC57A6EA7D5975A0D740" w:id="17"/>
      <w:bookmarkEnd w:id="17"/>
      <w:r>
        <w:t>Sec. 25B-26.</w:t>
      </w:r>
      <w:r>
        <w:t xml:space="preserve"> </w:t>
      </w:r>
      <w:r>
        <w:t>Property acquisition.</w:t>
      </w:r>
    </w:p>
    <w:p w:rsidR="00000000" w:rsidRDefault="005602E5">
      <w:pPr>
        <w:pStyle w:val="list0"/>
        <w:divId w:val="940184832"/>
      </w:pPr>
      <w:r>
        <w:t>(a)</w:t>
        <w:tab/>
      </w:r>
      <w:r>
        <w:t>All real property acquired pursuant to this article shall be acquired in compliance with Miami-Dade County Administrative Order 8-4 and Florida Statute 125.355, and all other applicable laws. Funds disbursed to a Public Agency other than the County in acco</w:t>
      </w:r>
      <w:r>
        <w:t xml:space="preserve">rdance with Section 3 shall be expended by that agency pursuant to an Interlocal agreement with Miami-Dade County. </w:t>
      </w:r>
    </w:p>
    <w:p w:rsidR="00000000" w:rsidRDefault="005602E5">
      <w:pPr>
        <w:pStyle w:val="list0"/>
        <w:divId w:val="940184832"/>
      </w:pPr>
      <w:r>
        <w:t>(b)</w:t>
        <w:tab/>
      </w:r>
      <w:r>
        <w:t>For the purposes of this article, acquisition may include gifts, purchases, leases, easements, the exercise of eminent domain, the trans</w:t>
      </w:r>
      <w:r>
        <w:t xml:space="preserve">fer or exchange of property of like value, transfers of development rights or credits, and purchases of development rights and other interests. </w:t>
      </w:r>
    </w:p>
    <w:p w:rsidR="00000000" w:rsidRDefault="005602E5">
      <w:pPr>
        <w:pStyle w:val="list0"/>
        <w:divId w:val="940184832"/>
      </w:pPr>
      <w:r>
        <w:t>(c)</w:t>
        <w:tab/>
      </w:r>
      <w:r>
        <w:t>All grants, gifts, devises, or bequests to any of the qualified public agencies of this article, conditiona</w:t>
      </w:r>
      <w:r>
        <w:t xml:space="preserve">l or unconditional, for park, conservation, recreational, wildlife habitat, natural lands or other purposes for which real property may be acquired or developed pursuant to this article, shall be made in the name of the agency and accepted and received on </w:t>
      </w:r>
      <w:r>
        <w:t>behalf of the agency pursuant to the applicable administrative order of the County. The grants, gifts, devises or bequests shall be available for expenditure for the purposes specified in</w:t>
      </w:r>
      <w:hyperlink w:history="1" w:anchor="PTIIICOOR_CH25BPAREGE_ARTIIISANEPAOR_S25B-22BO" r:id="rId39">
        <w:r>
          <w:rPr>
            <w:rStyle w:val="Hyperlink"/>
          </w:rPr>
          <w:t xml:space="preserve"> Section 25B-22</w:t>
        </w:r>
      </w:hyperlink>
      <w:r>
        <w:t xml:space="preserve"> hereof. </w:t>
      </w:r>
    </w:p>
    <w:p w:rsidR="00000000" w:rsidRDefault="005602E5">
      <w:pPr>
        <w:pStyle w:val="historynote"/>
        <w:divId w:val="940184832"/>
      </w:pPr>
      <w:r>
        <w:t xml:space="preserve">(Ord. No. 96-115, § 7, 7-16-96) </w:t>
      </w:r>
    </w:p>
    <w:p w:rsidR="00000000" w:rsidRDefault="005602E5">
      <w:pPr>
        <w:pStyle w:val="sec"/>
        <w:divId w:val="940184832"/>
      </w:pPr>
      <w:bookmarkStart w:name="BK_DB391EB3B871B36157C619FA489E5596" w:id="18"/>
      <w:bookmarkEnd w:id="18"/>
      <w:r>
        <w:t>Sec. 25B-27.</w:t>
      </w:r>
      <w:r>
        <w:t xml:space="preserve"> </w:t>
      </w:r>
      <w:r>
        <w:t>Public access and community involvement.</w:t>
      </w:r>
    </w:p>
    <w:p w:rsidR="00000000" w:rsidRDefault="005602E5">
      <w:pPr>
        <w:pStyle w:val="list0"/>
        <w:divId w:val="940184832"/>
      </w:pPr>
      <w:r>
        <w:t>(a)</w:t>
        <w:tab/>
      </w:r>
      <w:r>
        <w:t>Reasonable public access to lands and facilities fund</w:t>
      </w:r>
      <w:r>
        <w:t xml:space="preserve">ed by this article shall not be denied, except where that access may interfere with resource protection. </w:t>
      </w:r>
    </w:p>
    <w:p w:rsidR="00000000" w:rsidRDefault="005602E5">
      <w:pPr>
        <w:pStyle w:val="list0"/>
        <w:divId w:val="940184832"/>
      </w:pPr>
      <w:r>
        <w:t>(b)</w:t>
        <w:tab/>
      </w:r>
      <w:r>
        <w:t>All funds allocated pursuant to this article for projects involving the rehabilitation or restoration of beach, park, recreation, open space or na</w:t>
      </w:r>
      <w:r>
        <w:t xml:space="preserve">tural lands shall be used to the maximum extent practical to employ residents from the surrounding community in which the particular rehabilitation or restoration project is being carried out. </w:t>
      </w:r>
    </w:p>
    <w:p w:rsidR="00000000" w:rsidRDefault="005602E5">
      <w:pPr>
        <w:pStyle w:val="list0"/>
        <w:divId w:val="940184832"/>
      </w:pPr>
      <w:r>
        <w:t>(c)</w:t>
        <w:tab/>
      </w:r>
      <w:r>
        <w:t>To the maximum extent feasible, public agencies and not-fo</w:t>
      </w:r>
      <w:r>
        <w:t>r-profit organizations shall be encouraged and have authority to use funds received pursuant to this article to provide funding through agreements with community organizations, particularly when youth can be employed to work on restoration or rehabilitatio</w:t>
      </w:r>
      <w:r>
        <w:t xml:space="preserve">n projects being carried out in their own communities. Such agreements shall be entered into solely for the accomplishment of the purposes set forth by this article. </w:t>
      </w:r>
    </w:p>
    <w:p w:rsidR="00000000" w:rsidRDefault="005602E5">
      <w:pPr>
        <w:pStyle w:val="historynote"/>
        <w:divId w:val="940184832"/>
      </w:pPr>
      <w:r>
        <w:t xml:space="preserve">(Ord. No. 96-115, § 8, 7-16-96) </w:t>
      </w:r>
    </w:p>
    <w:p w:rsidR="00000000" w:rsidRDefault="005602E5">
      <w:pPr>
        <w:pStyle w:val="sec"/>
        <w:divId w:val="940184832"/>
      </w:pPr>
      <w:bookmarkStart w:name="BK_74AF12280884009C4D62554C8923E6F3" w:id="19"/>
      <w:bookmarkEnd w:id="19"/>
      <w:r>
        <w:t>Sec. 25B-28.</w:t>
      </w:r>
      <w:r>
        <w:t xml:space="preserve"> </w:t>
      </w:r>
      <w:r>
        <w:t>Environ</w:t>
      </w:r>
      <w:r>
        <w:t>mental review.</w:t>
      </w:r>
    </w:p>
    <w:p w:rsidR="00000000" w:rsidRDefault="005602E5">
      <w:pPr>
        <w:pStyle w:val="list0"/>
        <w:divId w:val="940184832"/>
      </w:pPr>
      <w:r>
        <w:t>(a)</w:t>
        <w:tab/>
      </w:r>
      <w:r>
        <w:t>Prior to recommending the acquisition of lands that are located on or near tidelands, submerged lands, swamp, or other wetlands, whether or not those lands have been granted in trust to a local public agency, any agency receiving funds p</w:t>
      </w:r>
      <w:r>
        <w:t>ursuant to this article shall submit to the Miami-Dade County Department of Environmental Resources Management (DERM) any proposal for the acquisition of those lands pursuant to this measure. DFRM may, at its discretion, within ninety (90) days of such a s</w:t>
      </w:r>
      <w:r>
        <w:t xml:space="preserve">ubmission, review the proposed acquisition, make a determination as to the States existing or potential interest in the lands, and report its findings to the entity making the submittal and to the County Manager. </w:t>
      </w:r>
    </w:p>
    <w:p w:rsidR="00000000" w:rsidRDefault="005602E5">
      <w:pPr>
        <w:pStyle w:val="list0"/>
        <w:divId w:val="940184832"/>
      </w:pPr>
      <w:r>
        <w:t>(b)</w:t>
        <w:tab/>
      </w:r>
      <w:r>
        <w:t>No wetlands or riparian habitat acquir</w:t>
      </w:r>
      <w:r>
        <w:t>ed pursuant to</w:t>
      </w:r>
      <w:hyperlink w:history="1" w:anchor="PTIIICOOR_CH25BPAREGE_ARTIIISANEPAOR_S25B-22BO" r:id="rId40">
        <w:r>
          <w:rPr>
            <w:rStyle w:val="Hyperlink"/>
          </w:rPr>
          <w:t xml:space="preserve"> Section 25B-22</w:t>
        </w:r>
      </w:hyperlink>
      <w:r>
        <w:t xml:space="preserve"> shall be used as a dredge spoil area or shall be subject to revetment which damages the quality of the hab</w:t>
      </w:r>
      <w:r>
        <w:t xml:space="preserve">itat for which the property was acquired. </w:t>
      </w:r>
    </w:p>
    <w:p w:rsidR="00000000" w:rsidRDefault="005602E5">
      <w:pPr>
        <w:pStyle w:val="list0"/>
        <w:divId w:val="940184832"/>
      </w:pPr>
      <w:r>
        <w:t>(c)</w:t>
        <w:tab/>
      </w:r>
      <w:r>
        <w:t xml:space="preserve">No provision of this article shall be construed as authorizing the condemnation of publicly-owned lands. </w:t>
      </w:r>
    </w:p>
    <w:p w:rsidR="00000000" w:rsidRDefault="005602E5">
      <w:pPr>
        <w:pStyle w:val="historynote"/>
        <w:divId w:val="940184832"/>
      </w:pPr>
      <w:r>
        <w:t xml:space="preserve">(Ord. No. 96-115, § 9, 7-16-96) </w:t>
      </w:r>
    </w:p>
    <w:p w:rsidR="00000000" w:rsidRDefault="005602E5">
      <w:pPr>
        <w:pStyle w:val="sec"/>
        <w:divId w:val="940184832"/>
      </w:pPr>
      <w:bookmarkStart w:name="BK_E77F1730FFD573052D398F0896B3CC57" w:id="20"/>
      <w:bookmarkEnd w:id="20"/>
      <w:r>
        <w:t>Sec. 25B-29.</w:t>
      </w:r>
      <w:r>
        <w:t xml:space="preserve"> </w:t>
      </w:r>
      <w:r>
        <w:t>Bond capital.</w:t>
      </w:r>
    </w:p>
    <w:p w:rsidR="00000000" w:rsidRDefault="005602E5">
      <w:pPr>
        <w:pStyle w:val="list0"/>
        <w:divId w:val="940184832"/>
      </w:pPr>
      <w:r>
        <w:t>(a)</w:t>
        <w:tab/>
      </w:r>
      <w:r>
        <w:t>Pur</w:t>
      </w:r>
      <w:r>
        <w:t xml:space="preserve">suant to subdivision (e) of Section 5506.9 of the Public Resources Code, no proceeds from any bonds, notes or other evidences of indebtedness issued by Miami-Dade County shall be used for any operations, maintenance or servicing purposes, except that such </w:t>
      </w:r>
      <w:r>
        <w:t xml:space="preserve">proceeds may be used to pay all costs incidental to the preparation and issuance of the bonds. </w:t>
      </w:r>
    </w:p>
    <w:p w:rsidR="00000000" w:rsidRDefault="005602E5">
      <w:pPr>
        <w:pStyle w:val="list0"/>
        <w:divId w:val="940184832"/>
      </w:pPr>
      <w:r>
        <w:t>(b)</w:t>
        <w:tab/>
      </w:r>
      <w:r>
        <w:t>The amounts of all allocations designated in</w:t>
      </w:r>
      <w:hyperlink w:history="1" w:anchor="PTIIICOOR_CH25BPAREGE_ARTIIISANEPAOR_S25B-22BO" r:id="rId41">
        <w:r>
          <w:rPr>
            <w:rStyle w:val="Hyperlink"/>
          </w:rPr>
          <w:t xml:space="preserve"> Section 25B-22</w:t>
        </w:r>
      </w:hyperlink>
      <w:r>
        <w:t xml:space="preserve"> are gross amounts, and shall be reduced not more than one (1) percent for the costs of the overall administrative expens</w:t>
      </w:r>
      <w:r>
        <w:t xml:space="preserve">es of the bond. </w:t>
      </w:r>
    </w:p>
    <w:p w:rsidR="00000000" w:rsidRDefault="005602E5">
      <w:pPr>
        <w:pStyle w:val="historynote"/>
        <w:divId w:val="940184832"/>
      </w:pPr>
      <w:r>
        <w:t xml:space="preserve">(Ord. No. 96-115, § 10, 7-16-96) </w:t>
      </w:r>
    </w:p>
    <w:p w:rsidR="00000000" w:rsidRDefault="005602E5">
      <w:pPr>
        <w:pStyle w:val="sec"/>
        <w:divId w:val="940184832"/>
      </w:pPr>
      <w:bookmarkStart w:name="BK_E52EF6635A592E740E1A291CF86BEB7F" w:id="21"/>
      <w:bookmarkEnd w:id="21"/>
      <w:r>
        <w:t>Sec. 25B-30.</w:t>
      </w:r>
      <w:r>
        <w:t xml:space="preserve"> </w:t>
      </w:r>
      <w:r>
        <w:t>Maintenance of effort.</w:t>
      </w:r>
    </w:p>
    <w:p w:rsidR="00000000" w:rsidRDefault="005602E5">
      <w:pPr>
        <w:pStyle w:val="p0"/>
        <w:divId w:val="940184832"/>
      </w:pPr>
      <w:r>
        <w:t>It is the intent of this article to produce a net benefit to the residents of Miami-Dade County. No substitution in capital project f</w:t>
      </w:r>
      <w:r>
        <w:t xml:space="preserve">unding by the County and/or municipalities shall occur as a result of projects specifically funded by this bond issue. </w:t>
      </w:r>
    </w:p>
    <w:p w:rsidR="00000000" w:rsidRDefault="005602E5">
      <w:pPr>
        <w:pStyle w:val="historynote"/>
        <w:divId w:val="940184832"/>
      </w:pPr>
      <w:r>
        <w:t xml:space="preserve">(Ord. No. 96-115, § 11, 7-16-96) </w:t>
      </w:r>
    </w:p>
    <w:p w:rsidR="00000000" w:rsidRDefault="005602E5">
      <w:pPr>
        <w:pStyle w:val="sec"/>
        <w:divId w:val="940184832"/>
      </w:pPr>
      <w:bookmarkStart w:name="BK_45C492607295DE8C45FEF17B19667A97" w:id="22"/>
      <w:bookmarkEnd w:id="22"/>
      <w:r>
        <w:t>Sec. 25B-31.</w:t>
      </w:r>
      <w:r>
        <w:t xml:space="preserve"> </w:t>
      </w:r>
      <w:r>
        <w:t>Sale of bonds.</w:t>
      </w:r>
    </w:p>
    <w:p w:rsidR="00000000" w:rsidRDefault="005602E5">
      <w:pPr>
        <w:pStyle w:val="p0"/>
        <w:divId w:val="940184832"/>
      </w:pPr>
      <w:r>
        <w:t xml:space="preserve">The bonds may be issued either all at </w:t>
      </w:r>
      <w:r>
        <w:t xml:space="preserve">one (1) time or in part from time to time as the Board of County Commissioners may in its discretion determine by subsequent ordinance or resolution. The sale of such bonds shall not be combined with the sale of any other bonds of the County. </w:t>
      </w:r>
    </w:p>
    <w:p w:rsidR="00000000" w:rsidRDefault="005602E5">
      <w:pPr>
        <w:pStyle w:val="historynote"/>
        <w:divId w:val="940184832"/>
      </w:pPr>
      <w:r>
        <w:t>(Ord. No. 96</w:t>
      </w:r>
      <w:r>
        <w:t xml:space="preserve">-115, § 12, 7-16-96) </w:t>
      </w:r>
    </w:p>
    <w:p w:rsidR="00000000" w:rsidRDefault="005602E5">
      <w:pPr>
        <w:pStyle w:val="sec"/>
        <w:divId w:val="940184832"/>
      </w:pPr>
      <w:bookmarkStart w:name="BK_69D024DE26DBF562C8EFEC0F0BFDE603" w:id="23"/>
      <w:bookmarkEnd w:id="23"/>
      <w:r>
        <w:t>Sec. 25B-32.</w:t>
      </w:r>
      <w:r>
        <w:t xml:space="preserve"> </w:t>
      </w:r>
      <w:r>
        <w:t>Independent audit.</w:t>
      </w:r>
    </w:p>
    <w:p w:rsidR="00000000" w:rsidRDefault="005602E5">
      <w:pPr>
        <w:pStyle w:val="p0"/>
        <w:divId w:val="940184832"/>
      </w:pPr>
      <w:r>
        <w:t xml:space="preserve">There shall be an annual independent audit of all proceeds of the Bonds. This audit shall examine all proceeds on hand and unexpended. The expense of the audit shall </w:t>
      </w:r>
      <w:r>
        <w:t xml:space="preserve">be paid from the general bond fund. All bond recipients shall cooperate fully with the program's auditors. </w:t>
      </w:r>
    </w:p>
    <w:p w:rsidR="00000000" w:rsidRDefault="005602E5">
      <w:pPr>
        <w:pStyle w:val="p0"/>
        <w:divId w:val="940184832"/>
      </w:pPr>
      <w:r>
        <w:t>The Committee shall have the right, in its sole discretion, to require recipients of any grant to retain the services of an independent private sect</w:t>
      </w:r>
      <w:r>
        <w:t xml:space="preserve">or inspector general (IPSIG) to audit, investigate, monitor, oversee, inspect and review the operations, activities and performance of the recipient and its contractor. Said audit shall include compliance with contract specifications and project costs, as </w:t>
      </w:r>
      <w:r>
        <w:t xml:space="preserve">well as the prevention of corruption and fraud. Grant agreements shall include an acknowledgment by the recipient that the Committee has the right to utilize an IPSIG. </w:t>
      </w:r>
    </w:p>
    <w:p w:rsidR="00000000" w:rsidRDefault="005602E5">
      <w:pPr>
        <w:pStyle w:val="historynote"/>
        <w:divId w:val="940184832"/>
      </w:pPr>
      <w:r>
        <w:t xml:space="preserve">(Ord. No. 96-115, § 13, 7-16-96) </w:t>
      </w:r>
    </w:p>
    <w:p w:rsidR="00000000" w:rsidRDefault="005602E5">
      <w:pPr>
        <w:divId w:val="652417829"/>
        <w:rPr>
          <w:rFonts w:eastAsia="Times New Roman"/>
        </w:rPr>
      </w:pPr>
    </w:p>
    <w:p w:rsidR="00000000" w:rsidRDefault="005602E5">
      <w:pPr>
        <w:divId w:val="652417829"/>
        <w:rPr>
          <w:rFonts w:eastAsia="Times New Roman"/>
        </w:rPr>
      </w:pPr>
      <w:r>
        <w:rPr>
          <w:rFonts w:eastAsia="Times New Roman"/>
        </w:rPr>
        <w:pict>
          <v:rect id="_x0000_i1029" style="width:0;height:1.5pt" o:hr="t" o:hrstd="t" o:hralign="center" fillcolor="#a0a0a0" stroked="f"/>
        </w:pict>
      </w:r>
    </w:p>
    <w:p w:rsidR="00000000" w:rsidRDefault="005602E5">
      <w:pPr>
        <w:pStyle w:val="b0"/>
        <w:divId w:val="652417829"/>
        <w:rPr>
          <w:rFonts w:eastAsiaTheme="minorEastAsia"/>
        </w:rPr>
      </w:pPr>
      <w:r>
        <w:t>FOOTNOTE(S):</w:t>
      </w:r>
    </w:p>
    <w:p w:rsidR="00000000" w:rsidRDefault="005602E5">
      <w:pPr>
        <w:divId w:val="652417829"/>
        <w:rPr>
          <w:rFonts w:eastAsia="Times New Roman"/>
        </w:rPr>
      </w:pPr>
      <w:r>
        <w:rPr>
          <w:rFonts w:eastAsia="Times New Roman"/>
        </w:rPr>
        <w:pict>
          <v:rect id="_x0000_i1030" style="width:0;height:1.5pt" o:hr="t" o:hrstd="t" o:hralign="center" fillcolor="#a0a0a0" stroked="f"/>
        </w:pict>
      </w:r>
    </w:p>
    <w:p w:rsidR="00000000" w:rsidRDefault="005602E5">
      <w:pPr>
        <w:pStyle w:val="refcharterfn"/>
        <w:divId w:val="535502691"/>
        <w:rPr>
          <w:rFonts w:eastAsiaTheme="minorEastAsia"/>
        </w:rPr>
      </w:pPr>
      <w:r>
        <w:t>--- (</w:t>
      </w:r>
      <w:r>
        <w:rPr>
          <w:b/>
          <w:bCs/>
        </w:rPr>
        <w:t>3</w:t>
      </w:r>
      <w:r>
        <w:t xml:space="preserve">) --- </w:t>
      </w:r>
    </w:p>
    <w:p w:rsidR="00000000" w:rsidRDefault="005602E5">
      <w:pPr>
        <w:pStyle w:val="refcrossfn"/>
        <w:divId w:val="535502691"/>
      </w:pPr>
      <w:r>
        <w:rPr>
          <w:b/>
          <w:bCs/>
        </w:rPr>
        <w:t xml:space="preserve">Cross reference— </w:t>
      </w:r>
      <w:r>
        <w:t>General obligation bonds, ch. 16.</w:t>
      </w:r>
      <w:hyperlink w:history="1" w:anchor="BK_B2BB702D14F74024F9C0A9EEEBBAB17C">
        <w:r>
          <w:rPr>
            <w:rStyle w:val="Hyperlink"/>
          </w:rPr>
          <w:t xml:space="preserve"> (Back)</w:t>
        </w:r>
      </w:hyperlink>
    </w:p>
    <w:sectPr w:rsidR="00000000">
      <w:pgSz w:w="12240" w:h="15840"/>
      <w:pgMar w:top="1440" w:right="1440" w:bottom="1440" w:left="1440" w:header="720" w:footer="720" w:gutter="0"/>
      <w:cols w:space="720"/>
      <w:docGrid w:linePitch="360"/>
      <w:headerReference r:id="R192d9ca9f2e74ba0"/>
      <w:footerReference r:id="R15789a0016814cd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602E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602E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25B PARKS AND RECREATION GENERALLY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2288"/>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417829">
      <w:bodyDiv w:val="1"/>
      <w:marLeft w:val="0"/>
      <w:marRight w:val="0"/>
      <w:marTop w:val="0"/>
      <w:marBottom w:val="0"/>
      <w:divBdr>
        <w:top w:val="none" w:sz="0" w:space="0" w:color="auto"/>
        <w:left w:val="none" w:sz="0" w:space="0" w:color="auto"/>
        <w:bottom w:val="none" w:sz="0" w:space="0" w:color="auto"/>
        <w:right w:val="none" w:sz="0" w:space="0" w:color="auto"/>
      </w:divBdr>
      <w:divsChild>
        <w:div w:id="565798872">
          <w:marLeft w:val="0"/>
          <w:marRight w:val="0"/>
          <w:marTop w:val="0"/>
          <w:marBottom w:val="0"/>
          <w:divBdr>
            <w:top w:val="none" w:sz="0" w:space="0" w:color="auto"/>
            <w:left w:val="none" w:sz="0" w:space="0" w:color="auto"/>
            <w:bottom w:val="none" w:sz="0" w:space="0" w:color="auto"/>
            <w:right w:val="none" w:sz="0" w:space="0" w:color="auto"/>
          </w:divBdr>
          <w:divsChild>
            <w:div w:id="477920334">
              <w:marLeft w:val="0"/>
              <w:marRight w:val="0"/>
              <w:marTop w:val="0"/>
              <w:marBottom w:val="0"/>
              <w:divBdr>
                <w:top w:val="none" w:sz="0" w:space="0" w:color="auto"/>
                <w:left w:val="none" w:sz="0" w:space="0" w:color="auto"/>
                <w:bottom w:val="none" w:sz="0" w:space="0" w:color="auto"/>
                <w:right w:val="none" w:sz="0" w:space="0" w:color="auto"/>
              </w:divBdr>
            </w:div>
            <w:div w:id="1920014370">
              <w:marLeft w:val="0"/>
              <w:marRight w:val="0"/>
              <w:marTop w:val="0"/>
              <w:marBottom w:val="0"/>
              <w:divBdr>
                <w:top w:val="none" w:sz="0" w:space="0" w:color="auto"/>
                <w:left w:val="none" w:sz="0" w:space="0" w:color="auto"/>
                <w:bottom w:val="none" w:sz="0" w:space="0" w:color="auto"/>
                <w:right w:val="none" w:sz="0" w:space="0" w:color="auto"/>
              </w:divBdr>
            </w:div>
            <w:div w:id="1318267762">
              <w:marLeft w:val="0"/>
              <w:marRight w:val="0"/>
              <w:marTop w:val="0"/>
              <w:marBottom w:val="0"/>
              <w:divBdr>
                <w:top w:val="none" w:sz="0" w:space="0" w:color="auto"/>
                <w:left w:val="none" w:sz="0" w:space="0" w:color="auto"/>
                <w:bottom w:val="none" w:sz="0" w:space="0" w:color="auto"/>
                <w:right w:val="none" w:sz="0" w:space="0" w:color="auto"/>
              </w:divBdr>
            </w:div>
            <w:div w:id="1117024225">
              <w:marLeft w:val="0"/>
              <w:marRight w:val="0"/>
              <w:marTop w:val="0"/>
              <w:marBottom w:val="0"/>
              <w:divBdr>
                <w:top w:val="none" w:sz="0" w:space="0" w:color="auto"/>
                <w:left w:val="none" w:sz="0" w:space="0" w:color="auto"/>
                <w:bottom w:val="none" w:sz="0" w:space="0" w:color="auto"/>
                <w:right w:val="none" w:sz="0" w:space="0" w:color="auto"/>
              </w:divBdr>
            </w:div>
          </w:divsChild>
        </w:div>
        <w:div w:id="1916821752">
          <w:marLeft w:val="0"/>
          <w:marRight w:val="0"/>
          <w:marTop w:val="0"/>
          <w:marBottom w:val="0"/>
          <w:divBdr>
            <w:top w:val="none" w:sz="0" w:space="0" w:color="auto"/>
            <w:left w:val="none" w:sz="0" w:space="0" w:color="auto"/>
            <w:bottom w:val="none" w:sz="0" w:space="0" w:color="auto"/>
            <w:right w:val="none" w:sz="0" w:space="0" w:color="auto"/>
          </w:divBdr>
        </w:div>
        <w:div w:id="478308319">
          <w:marLeft w:val="0"/>
          <w:marRight w:val="0"/>
          <w:marTop w:val="0"/>
          <w:marBottom w:val="0"/>
          <w:divBdr>
            <w:top w:val="none" w:sz="0" w:space="0" w:color="auto"/>
            <w:left w:val="none" w:sz="0" w:space="0" w:color="auto"/>
            <w:bottom w:val="none" w:sz="0" w:space="0" w:color="auto"/>
            <w:right w:val="none" w:sz="0" w:space="0" w:color="auto"/>
          </w:divBdr>
        </w:div>
        <w:div w:id="1798449419">
          <w:marLeft w:val="0"/>
          <w:marRight w:val="0"/>
          <w:marTop w:val="0"/>
          <w:marBottom w:val="0"/>
          <w:divBdr>
            <w:top w:val="none" w:sz="0" w:space="0" w:color="auto"/>
            <w:left w:val="none" w:sz="0" w:space="0" w:color="auto"/>
            <w:bottom w:val="none" w:sz="0" w:space="0" w:color="auto"/>
            <w:right w:val="none" w:sz="0" w:space="0" w:color="auto"/>
          </w:divBdr>
        </w:div>
        <w:div w:id="227114581">
          <w:marLeft w:val="0"/>
          <w:marRight w:val="0"/>
          <w:marTop w:val="0"/>
          <w:marBottom w:val="0"/>
          <w:divBdr>
            <w:top w:val="none" w:sz="0" w:space="0" w:color="auto"/>
            <w:left w:val="none" w:sz="0" w:space="0" w:color="auto"/>
            <w:bottom w:val="none" w:sz="0" w:space="0" w:color="auto"/>
            <w:right w:val="none" w:sz="0" w:space="0" w:color="auto"/>
          </w:divBdr>
        </w:div>
        <w:div w:id="940184832">
          <w:marLeft w:val="0"/>
          <w:marRight w:val="0"/>
          <w:marTop w:val="0"/>
          <w:marBottom w:val="0"/>
          <w:divBdr>
            <w:top w:val="none" w:sz="0" w:space="0" w:color="auto"/>
            <w:left w:val="none" w:sz="0" w:space="0" w:color="auto"/>
            <w:bottom w:val="none" w:sz="0" w:space="0" w:color="auto"/>
            <w:right w:val="none" w:sz="0" w:space="0" w:color="auto"/>
          </w:divBdr>
        </w:div>
        <w:div w:id="53550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5BPAREGE_ARTIINGE.docx" TargetMode="External" Id="rId13" /><Relationship Type="http://schemas.openxmlformats.org/officeDocument/2006/relationships/hyperlink" Target="../level3/PTIIICOOR_CH25BPAREGE_ARTIIISANEPAOR.docx" TargetMode="External" Id="rId18" /><Relationship Type="http://schemas.openxmlformats.org/officeDocument/2006/relationships/hyperlink" Target="../level3/PTIIICOOR_CH25BPAREGE_ARTIIISANEPAOR.docx" TargetMode="External" Id="rId26" /><Relationship Type="http://schemas.openxmlformats.org/officeDocument/2006/relationships/hyperlink" Target="../level3/PTIIICOOR_CH25BPAREGE_ARTIIISANEPAOR.docx" TargetMode="External" Id="rId39" /><Relationship Type="http://schemas.openxmlformats.org/officeDocument/2006/relationships/hyperlink" Target="../level3/PTIIICOOR_CH25BPAREGE_ARTIIISANEPAOR.docx" TargetMode="External" Id="rId21" /><Relationship Type="http://schemas.openxmlformats.org/officeDocument/2006/relationships/hyperlink" Target="../level3/PTIIICOOR_CH25BPAREGE_ARTIIISANEPAOR.docx" TargetMode="External" Id="rId34" /><Relationship Type="http://schemas.openxmlformats.org/officeDocument/2006/relationships/header" Target="header1.xml" Id="rId42" /><Relationship Type="http://schemas.openxmlformats.org/officeDocument/2006/relationships/footer" Target="footer3.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25BPAREGE_ARTIISTACCOUSSCOUREPAPUCONOUSLAOTSUPU.docx" TargetMode="External" Id="rId16" /><Relationship Type="http://schemas.openxmlformats.org/officeDocument/2006/relationships/hyperlink" Target="../level3/PTIIICOOR_CH25BPAREGE_ARTIIISANEPAOR.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25BPAREGE_ARTIIISANEPAOR.docx" TargetMode="External" Id="rId24" /><Relationship Type="http://schemas.openxmlformats.org/officeDocument/2006/relationships/hyperlink" Target="../level3/PTIIICOOR_CH25BPAREGE_ARTIIISANEPAOR.docx" TargetMode="External" Id="rId32" /><Relationship Type="http://schemas.openxmlformats.org/officeDocument/2006/relationships/hyperlink" Target="../level3/PTIIICOOR_CH25BPAREGE_ARTIIISANEPAOR.docx" TargetMode="External" Id="rId37" /><Relationship Type="http://schemas.openxmlformats.org/officeDocument/2006/relationships/hyperlink" Target="../level3/PTIIICOOR_CH25BPAREGE_ARTIIISANEPAOR.docx" TargetMode="External" Id="rId40" /><Relationship Type="http://schemas.openxmlformats.org/officeDocument/2006/relationships/footer" Target="footer2.xml" Id="rId45" /><Relationship Type="http://schemas.openxmlformats.org/officeDocument/2006/relationships/styles" Target="styles.xml" Id="rId5" /><Relationship Type="http://schemas.openxmlformats.org/officeDocument/2006/relationships/hyperlink" Target="../level3/PTIIICOOR_CH25BPAREGE_ARTIIISANEPAOR.docx" TargetMode="External" Id="rId15" /><Relationship Type="http://schemas.openxmlformats.org/officeDocument/2006/relationships/hyperlink" Target="../level3/PTIIICOOR_CH25BPAREGE_ARTIIISANEPAOR.docx" TargetMode="External" Id="rId23" /><Relationship Type="http://schemas.openxmlformats.org/officeDocument/2006/relationships/hyperlink" Target="../level3/PTIIICOOR_CH25BPAREGE_ARTIIISANEPAOR.docx" TargetMode="External" Id="rId28" /><Relationship Type="http://schemas.openxmlformats.org/officeDocument/2006/relationships/hyperlink" Target="../level3/PTIIICOOR_CH25BPAREGE_ARTIIISANEPAOR.docx" TargetMode="External" Id="rId36" /><Relationship Type="http://schemas.openxmlformats.org/officeDocument/2006/relationships/theme" Target="theme/theme1.xml" Id="rId49" /><Relationship Type="http://schemas.openxmlformats.org/officeDocument/2006/relationships/hyperlink" Target="../book.html" TargetMode="External" Id="rId10" /><Relationship Type="http://schemas.openxmlformats.org/officeDocument/2006/relationships/hyperlink" Target="../level3/PTIIICOOR_CH25BPAREGE_ARTIIISANEPAOR.docx" TargetMode="External" Id="rId19" /><Relationship Type="http://schemas.openxmlformats.org/officeDocument/2006/relationships/hyperlink" Target="../level3/PTIIICOOR_CH25BPAREGE_ARTIIISANEPAOR.docx" TargetMode="External" Id="rId31" /><Relationship Type="http://schemas.openxmlformats.org/officeDocument/2006/relationships/footer" Target="footer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5BPAREGE_ARTIISTACCOUSSCOUREPAPUCONOUSLAOTSUPU.docx" TargetMode="External" Id="rId14" /><Relationship Type="http://schemas.openxmlformats.org/officeDocument/2006/relationships/hyperlink" Target="../level3/PTIIICOOR_CH25BPAREGE_ARTIIISANEPAOR.docx" TargetMode="External" Id="rId22" /><Relationship Type="http://schemas.openxmlformats.org/officeDocument/2006/relationships/hyperlink" Target="../level3/PTIIICOOR_CH25BPAREGE_ARTIIISANEPAOR.docx" TargetMode="External" Id="rId27" /><Relationship Type="http://schemas.openxmlformats.org/officeDocument/2006/relationships/hyperlink" Target="../level3/PTIIICOOR_CH25BPAREGE_ARTIIISANEPAOR.docx" TargetMode="External" Id="rId30" /><Relationship Type="http://schemas.openxmlformats.org/officeDocument/2006/relationships/hyperlink" Target="../level3/PTIIICOOR_CH25BPAREGE_ARTIIISANEPAOR.docx" TargetMode="External" Id="rId35" /><Relationship Type="http://schemas.openxmlformats.org/officeDocument/2006/relationships/header" Target="header2.xml" Id="rId43" /><Relationship Type="http://schemas.openxmlformats.org/officeDocument/2006/relationships/fontTable" Target="fontTable.xml" Id="rId48"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25BPAREGE.docx" TargetMode="External" Id="rId12" /><Relationship Type="http://schemas.openxmlformats.org/officeDocument/2006/relationships/hyperlink" Target="../level3/PTIIICOOR_CH2AD_ARTIBSTCRREBOGE.docx" TargetMode="External" Id="rId17" /><Relationship Type="http://schemas.openxmlformats.org/officeDocument/2006/relationships/hyperlink" Target="../level3/PTIIICOOR_CH25BPAREGE_ARTIIISANEPAOR.docx" TargetMode="External" Id="rId25" /><Relationship Type="http://schemas.openxmlformats.org/officeDocument/2006/relationships/hyperlink" Target="../level3/PTIIICOOR_CH25BPAREGE_ARTIIISANEPAOR.docx" TargetMode="External" Id="rId33" /><Relationship Type="http://schemas.openxmlformats.org/officeDocument/2006/relationships/hyperlink" Target="../level3/PTIIICOOR_CH25BPAREGE_ARTIIISANEPAOR.docx" TargetMode="External" Id="rId38" /><Relationship Type="http://schemas.openxmlformats.org/officeDocument/2006/relationships/header" Target="header3.xml" Id="rId46" /><Relationship Type="http://schemas.openxmlformats.org/officeDocument/2006/relationships/hyperlink" Target="../level3/PTIIICOOR_CH25BPAREGE_ARTIIISANEPAOR.docx" TargetMode="External" Id="rId20" /><Relationship Type="http://schemas.openxmlformats.org/officeDocument/2006/relationships/hyperlink" Target="../level3/PTIIICOOR_CH25BPAREGE_ARTIIISANEPAOR.docx"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word/header4.xml" Id="R192d9ca9f2e74ba0" /><Relationship Type="http://schemas.openxmlformats.org/officeDocument/2006/relationships/footer" Target="/word/footer4.xml" Id="R15789a0016814c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BCF03-1FA6-4DAC-BD4E-AA0ABD0378A8}"/>
</file>

<file path=customXml/itemProps2.xml><?xml version="1.0" encoding="utf-8"?>
<ds:datastoreItem xmlns:ds="http://schemas.openxmlformats.org/officeDocument/2006/customXml" ds:itemID="{87A50324-13FE-41A9-91B8-21D42C3B4B71}"/>
</file>

<file path=customXml/itemProps3.xml><?xml version="1.0" encoding="utf-8"?>
<ds:datastoreItem xmlns:ds="http://schemas.openxmlformats.org/officeDocument/2006/customXml" ds:itemID="{C9849F2A-2681-4C54-B513-6B7E930666DD}"/>
</file>

<file path=docProps/app.xml><?xml version="1.0" encoding="utf-8"?>
<Properties xmlns="http://schemas.openxmlformats.org/officeDocument/2006/extended-properties" xmlns:vt="http://schemas.openxmlformats.org/officeDocument/2006/docPropsVTypes">
  <Template>Normal</Template>
  <TotalTime>3</TotalTime>
  <Pages>1</Pages>
  <Words>8045</Words>
  <Characters>45858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