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23r936jo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 Project — Collector Sprint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sgoxwflo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Collector component is responsible for: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Fetching articles from defined sources (RSS / HTML / newsletters)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structured data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</w:t>
      </w:r>
      <w:r w:rsidDel="00000000" w:rsidR="00000000" w:rsidRPr="00000000">
        <w:rPr>
          <w:b w:val="1"/>
          <w:bCs w:val="1"/>
          <w:rtl w:val="0"/>
        </w:rPr>
        <w:t xml:space="preserve">initial deduplication across sources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Normalizing data into a unified JSON format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processor-ready input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j7ktnb2o0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Sprint 1 — Define structure + basic collection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pt7kvpuy1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output JSON schema (aligned with Processor input)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collector flow: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from ONE source (prefer RSS)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snippet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output to JSON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data/normalized/collected_items.json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th0mwuza1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one working source only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full article text yet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schema simple and consistent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thinking about unique identifiers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9qij317f8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that: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collects articles from one source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valid JSON list of articles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vwsi8g4zd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Sprint 2 — Multiple sources + normalization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45xn34t32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support for all 3 sources: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 Europe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Cure SMA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 News Today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normalization layer: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unify field names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data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basic text cleaning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collected_at</w:t>
      </w: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6j0n3hq8n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sources may use RSS, others HTML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everything into the same structure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additional relevant sources for future integration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y463t5rqf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Collector supports multiple sources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consistent JSON regardless of source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6medags26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Sprint 2.5 — Initial Integration with Processor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qalgghb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JSON schema with Processor team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required fields exist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is compatible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sending real collected JSON to Processor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schema if needed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3pabzi9ot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first </w:t>
      </w:r>
      <w:r w:rsidDel="00000000" w:rsidR="00000000" w:rsidRPr="00000000">
        <w:rPr>
          <w:b w:val="1"/>
          <w:bCs w:val="1"/>
          <w:rtl w:val="0"/>
        </w:rPr>
        <w:t xml:space="preserve">cross-component validation step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to detect mismatches early than later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15kj3g0c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Collector output successfully consumed by Processor (even if partially)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5zngg041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Sprint 3 — Full content + advanced deduplication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w79byl12r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full article text (if possible)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deduplication: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link OR hash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duplicates across different sources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content_quality</w:t>
      </w:r>
      <w:r w:rsidDel="00000000" w:rsidR="00000000" w:rsidRPr="00000000">
        <w:rPr>
          <w:rtl w:val="0"/>
        </w:rPr>
        <w:t xml:space="preserve"> indicator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full_text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snippet_only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or partial content gracefully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zp4gkct8o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sites may block full extraction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not crash if text is missing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integrating additional sources identified in Sprint 2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mncz7zrn2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Cleaner, richer JSON output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duplicates across all sources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9v0kxlcou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Sprint 4 — Robustness + integration-ready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tikhje0fv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 collector as: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callable function (for Processor)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 for: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on demand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execution (optional)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logging: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sources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JSON format for full system integration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ykzlve70y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stable and predictable output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integration with Dashboard &amp; Publisher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m1bqs4ywo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usable Collector component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clean, consistent, processor-ready JSON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b20jqg7tw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Risks &amp; Challenges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sites may not provide RSS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 may break if structure changes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text extraction may fail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articles across different sources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metadata (dates, authors)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kt9ihm5f7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Testing Strategy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each source independently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JSON structure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edge cases: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title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date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content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integration with Processor early (Sprint 2.5)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mew1rv7fg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Goal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Collector produces: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"id": "...",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"title": "...",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"link": "...",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"source": "...",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"published_at": "...",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"raw_text": "...",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"snippet": "...",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"language": "en",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"collected_at": "...",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"dedup_key": "..."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Processor input.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processor expectation: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"id": "1",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"title": "High-Dose Regimen of nusinersen receives European Commission Approval for the treatment of SMA",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"source": "SMA Europe",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"url": "string (full link to the original article)",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"published_at": "string (ISO format date, e.g., 2026-04-10)",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"language": "en",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"content": "Biogen announced that the European Commission has granted marketing authorisation for a high-dose regimen of nusinersen (SPINRAZA®️) for the treatment of SMA. The high-dose regimen comprises a more rapid loading phase, with two 50 mg loading doses administered 14 days apart, and 28 mg maintenance dose injections every four months thereafter. 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"snippet": "",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"collected_at": "2026-04-20T09:15:32Z",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"posted_at": "2026-04-20T09:15:32Z",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"author": "",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"tags": []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