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AA9" w:rsidRPr="001A0B10" w:rsidRDefault="003F5AA9" w:rsidP="00E111A0">
      <w:pPr>
        <w:ind w:left="720" w:hanging="720"/>
        <w:jc w:val="right"/>
        <w:outlineLvl w:val="0"/>
        <w:rPr>
          <w:rFonts w:ascii="Arial" w:hAnsi="Arial" w:cs="Arial"/>
          <w:b/>
          <w:lang w:val="en-GB"/>
        </w:rPr>
      </w:pPr>
      <w:r w:rsidRPr="001A0B10">
        <w:rPr>
          <w:rFonts w:ascii="Arial" w:hAnsi="Arial" w:cs="Arial"/>
          <w:b/>
          <w:lang w:val="en-GB"/>
        </w:rPr>
        <w:t>36/1/4/1/2015</w:t>
      </w:r>
      <w:r>
        <w:rPr>
          <w:rFonts w:ascii="Arial" w:hAnsi="Arial" w:cs="Arial"/>
          <w:b/>
          <w:lang w:val="en-GB"/>
        </w:rPr>
        <w:t>00010</w:t>
      </w:r>
    </w:p>
    <w:p w:rsidR="003F5AA9" w:rsidRPr="001A0B10" w:rsidRDefault="003F5AA9" w:rsidP="00E111A0">
      <w:pPr>
        <w:ind w:left="720" w:hanging="720"/>
        <w:jc w:val="center"/>
        <w:outlineLvl w:val="0"/>
        <w:rPr>
          <w:rFonts w:ascii="Arial" w:hAnsi="Arial" w:cs="Arial"/>
          <w:b/>
          <w:lang w:val="en-GB"/>
        </w:rPr>
      </w:pPr>
      <w:r w:rsidRPr="001A0B10">
        <w:rPr>
          <w:rFonts w:ascii="Arial" w:hAnsi="Arial" w:cs="Arial"/>
          <w:b/>
          <w:lang w:val="en-GB"/>
        </w:rPr>
        <w:t>NATIONAL ASSEMBLY</w:t>
      </w:r>
    </w:p>
    <w:p w:rsidR="003F5AA9" w:rsidRPr="001A0B10" w:rsidRDefault="003F5AA9" w:rsidP="00E111A0">
      <w:pPr>
        <w:ind w:left="720" w:hanging="720"/>
        <w:jc w:val="center"/>
        <w:outlineLvl w:val="0"/>
        <w:rPr>
          <w:rFonts w:ascii="Arial" w:hAnsi="Arial" w:cs="Arial"/>
          <w:b/>
          <w:lang w:val="en-GB"/>
        </w:rPr>
      </w:pPr>
    </w:p>
    <w:p w:rsidR="003F5AA9" w:rsidRPr="001A0B10" w:rsidRDefault="003F5AA9" w:rsidP="00E111A0">
      <w:pPr>
        <w:ind w:left="720" w:hanging="720"/>
        <w:jc w:val="both"/>
        <w:outlineLvl w:val="0"/>
        <w:rPr>
          <w:rFonts w:ascii="Arial" w:hAnsi="Arial" w:cs="Arial"/>
          <w:b/>
          <w:u w:val="single"/>
          <w:lang w:val="en-GB"/>
        </w:rPr>
      </w:pPr>
      <w:r w:rsidRPr="001A0B10">
        <w:rPr>
          <w:rFonts w:ascii="Arial" w:hAnsi="Arial" w:cs="Arial"/>
          <w:b/>
          <w:u w:val="single"/>
          <w:lang w:val="en-GB"/>
        </w:rPr>
        <w:t>FOR WRITTEN REPLY</w:t>
      </w:r>
    </w:p>
    <w:p w:rsidR="003F5AA9" w:rsidRPr="001A0B10" w:rsidRDefault="003F5AA9" w:rsidP="00E111A0">
      <w:pPr>
        <w:ind w:left="720" w:hanging="720"/>
        <w:jc w:val="both"/>
        <w:outlineLvl w:val="0"/>
        <w:rPr>
          <w:rFonts w:ascii="Arial" w:hAnsi="Arial" w:cs="Arial"/>
          <w:b/>
          <w:u w:val="single"/>
          <w:lang w:val="en-GB"/>
        </w:rPr>
      </w:pPr>
    </w:p>
    <w:p w:rsidR="003F5AA9" w:rsidRPr="001A0B10" w:rsidRDefault="003F5AA9" w:rsidP="00E111A0">
      <w:pPr>
        <w:ind w:left="720" w:hanging="720"/>
        <w:jc w:val="both"/>
        <w:outlineLvl w:val="0"/>
        <w:rPr>
          <w:rFonts w:ascii="Arial" w:hAnsi="Arial" w:cs="Arial"/>
          <w:b/>
          <w:u w:val="single"/>
          <w:lang w:val="en-GB"/>
        </w:rPr>
      </w:pPr>
      <w:r>
        <w:rPr>
          <w:rFonts w:ascii="Arial" w:hAnsi="Arial" w:cs="Arial"/>
          <w:b/>
          <w:u w:val="single"/>
          <w:lang w:val="en-GB"/>
        </w:rPr>
        <w:t>QUESTION 126</w:t>
      </w:r>
    </w:p>
    <w:p w:rsidR="003F5AA9" w:rsidRPr="001A0B10" w:rsidRDefault="003F5AA9" w:rsidP="00E111A0">
      <w:pPr>
        <w:ind w:left="720" w:hanging="720"/>
        <w:jc w:val="both"/>
        <w:outlineLvl w:val="0"/>
        <w:rPr>
          <w:rFonts w:ascii="Arial" w:hAnsi="Arial" w:cs="Arial"/>
          <w:b/>
          <w:u w:val="single"/>
          <w:lang w:val="en-GB"/>
        </w:rPr>
      </w:pPr>
    </w:p>
    <w:p w:rsidR="003F5AA9" w:rsidRPr="001A0B10" w:rsidRDefault="003F5AA9" w:rsidP="00E111A0">
      <w:pPr>
        <w:ind w:left="720" w:hanging="720"/>
        <w:jc w:val="center"/>
        <w:outlineLvl w:val="0"/>
        <w:rPr>
          <w:rFonts w:ascii="Arial" w:hAnsi="Arial" w:cs="Arial"/>
          <w:b/>
          <w:u w:val="single"/>
          <w:lang w:val="en-GB"/>
        </w:rPr>
      </w:pPr>
      <w:r w:rsidRPr="001A0B10">
        <w:rPr>
          <w:rFonts w:ascii="Arial" w:hAnsi="Arial" w:cs="Arial"/>
          <w:b/>
          <w:u w:val="single"/>
          <w:lang w:val="en-GB"/>
        </w:rPr>
        <w:t>DATE OF PUBLICATION IN INTERNAL QUESTION PAPER</w:t>
      </w:r>
      <w:r>
        <w:rPr>
          <w:rFonts w:ascii="Arial" w:hAnsi="Arial" w:cs="Arial"/>
          <w:b/>
          <w:u w:val="single"/>
          <w:lang w:val="en-GB"/>
        </w:rPr>
        <w:t>: 12 FEBRUARY 2015</w:t>
      </w:r>
      <w:r w:rsidRPr="001A0B10">
        <w:rPr>
          <w:rFonts w:ascii="Arial" w:hAnsi="Arial" w:cs="Arial"/>
          <w:b/>
          <w:u w:val="single"/>
          <w:lang w:val="en-GB"/>
        </w:rPr>
        <w:t xml:space="preserve"> </w:t>
      </w:r>
    </w:p>
    <w:p w:rsidR="003F5AA9" w:rsidRPr="001A0B10" w:rsidRDefault="003F5AA9" w:rsidP="00E111A0">
      <w:pPr>
        <w:jc w:val="center"/>
        <w:rPr>
          <w:rFonts w:ascii="Arial" w:hAnsi="Arial" w:cs="Arial"/>
          <w:lang w:val="en-GB"/>
        </w:rPr>
      </w:pPr>
      <w:r w:rsidRPr="001A0B10">
        <w:rPr>
          <w:rFonts w:ascii="Arial" w:hAnsi="Arial" w:cs="Arial"/>
          <w:b/>
          <w:u w:val="single"/>
          <w:lang w:val="en-GB"/>
        </w:rPr>
        <w:t xml:space="preserve">(INTERNAL QUESTION PAPER NO </w:t>
      </w:r>
      <w:r>
        <w:rPr>
          <w:rFonts w:ascii="Arial" w:hAnsi="Arial" w:cs="Arial"/>
          <w:b/>
          <w:u w:val="single"/>
          <w:lang w:val="en-GB"/>
        </w:rPr>
        <w:t>1</w:t>
      </w:r>
      <w:r w:rsidRPr="001A0B10">
        <w:rPr>
          <w:rFonts w:ascii="Arial" w:hAnsi="Arial" w:cs="Arial"/>
          <w:b/>
          <w:u w:val="single"/>
          <w:lang w:val="en-GB"/>
        </w:rPr>
        <w:t>-2015)</w:t>
      </w:r>
    </w:p>
    <w:p w:rsidR="003F5AA9" w:rsidRPr="001A0B10" w:rsidRDefault="003F5AA9" w:rsidP="00E111A0">
      <w:pPr>
        <w:spacing w:before="100" w:beforeAutospacing="1" w:after="100" w:afterAutospacing="1"/>
        <w:ind w:right="-46" w:firstLine="11"/>
        <w:jc w:val="both"/>
        <w:outlineLvl w:val="0"/>
        <w:rPr>
          <w:rFonts w:ascii="Arial" w:hAnsi="Arial" w:cs="Arial"/>
          <w:b/>
        </w:rPr>
      </w:pPr>
    </w:p>
    <w:p w:rsidR="003F5AA9" w:rsidRPr="001A0B10" w:rsidRDefault="003F5AA9" w:rsidP="00E111A0">
      <w:pPr>
        <w:spacing w:before="100" w:beforeAutospacing="1" w:after="100" w:afterAutospacing="1"/>
        <w:ind w:right="-46" w:firstLine="11"/>
        <w:jc w:val="both"/>
        <w:outlineLvl w:val="0"/>
        <w:rPr>
          <w:rFonts w:ascii="Arial" w:hAnsi="Arial" w:cs="Arial"/>
        </w:rPr>
      </w:pPr>
      <w:r>
        <w:rPr>
          <w:rFonts w:ascii="Arial" w:hAnsi="Arial" w:cs="Arial"/>
          <w:b/>
        </w:rPr>
        <w:t xml:space="preserve">126. </w:t>
      </w:r>
      <w:r w:rsidRPr="001A0B10">
        <w:rPr>
          <w:rFonts w:ascii="Arial" w:hAnsi="Arial" w:cs="Arial"/>
          <w:b/>
        </w:rPr>
        <w:t xml:space="preserve">Ms D Kohler (DA) to </w:t>
      </w:r>
      <w:r w:rsidRPr="001A0B10">
        <w:rPr>
          <w:rFonts w:ascii="Arial" w:hAnsi="Arial" w:cs="Arial"/>
          <w:b/>
          <w:lang w:val="en-ZA"/>
        </w:rPr>
        <w:t>ask</w:t>
      </w:r>
      <w:r w:rsidRPr="001A0B10">
        <w:rPr>
          <w:rFonts w:ascii="Arial" w:hAnsi="Arial" w:cs="Arial"/>
          <w:b/>
        </w:rPr>
        <w:t xml:space="preserve"> the Minister of Police:</w:t>
      </w:r>
    </w:p>
    <w:p w:rsidR="003F5AA9" w:rsidRDefault="003F5AA9" w:rsidP="00E111A0">
      <w:pPr>
        <w:spacing w:before="100" w:beforeAutospacing="1" w:after="100" w:afterAutospacing="1"/>
        <w:ind w:right="-46" w:firstLine="11"/>
        <w:jc w:val="both"/>
        <w:rPr>
          <w:rFonts w:ascii="Arial" w:hAnsi="Arial" w:cs="Arial"/>
        </w:rPr>
      </w:pPr>
      <w:r w:rsidRPr="001A0B10">
        <w:rPr>
          <w:rFonts w:ascii="Arial" w:hAnsi="Arial" w:cs="Arial"/>
        </w:rPr>
        <w:t>With reference to the reply to question 228 on 18 March 2014,</w:t>
      </w:r>
      <w:r w:rsidRPr="001A0B10">
        <w:rPr>
          <w:rFonts w:ascii="Arial" w:hAnsi="Arial" w:cs="Arial"/>
          <w:color w:val="000000"/>
        </w:rPr>
        <w:t xml:space="preserve"> (a) </w:t>
      </w:r>
      <w:r w:rsidRPr="001A0B10">
        <w:rPr>
          <w:rFonts w:ascii="Arial" w:hAnsi="Arial" w:cs="Arial"/>
        </w:rPr>
        <w:t>how much discontinued ammunition is still in circulation in the SA Police Service in each province and (b) what action is to be taken to remove this ammunition from use?</w:t>
      </w:r>
    </w:p>
    <w:p w:rsidR="003F5AA9" w:rsidRDefault="003F5AA9" w:rsidP="00E111A0">
      <w:pPr>
        <w:spacing w:before="100" w:beforeAutospacing="1" w:after="100" w:afterAutospacing="1"/>
        <w:ind w:right="-46" w:firstLine="11"/>
        <w:jc w:val="right"/>
        <w:rPr>
          <w:rFonts w:ascii="Arial" w:hAnsi="Arial" w:cs="Arial"/>
        </w:rPr>
      </w:pPr>
      <w:r w:rsidRPr="001A0B10">
        <w:rPr>
          <w:rFonts w:ascii="Arial" w:hAnsi="Arial" w:cs="Arial"/>
        </w:rPr>
        <w:t>NW131E</w:t>
      </w:r>
    </w:p>
    <w:p w:rsidR="003F5AA9" w:rsidRPr="001A0B10" w:rsidRDefault="003F5AA9" w:rsidP="00E111A0">
      <w:pPr>
        <w:spacing w:before="100" w:beforeAutospacing="1" w:after="100" w:afterAutospacing="1"/>
        <w:ind w:right="-46" w:firstLine="11"/>
        <w:jc w:val="both"/>
        <w:rPr>
          <w:rFonts w:ascii="Arial" w:hAnsi="Arial" w:cs="Arial"/>
          <w:b/>
        </w:rPr>
      </w:pPr>
      <w:r w:rsidRPr="001A0B10">
        <w:rPr>
          <w:rFonts w:ascii="Arial" w:hAnsi="Arial" w:cs="Arial"/>
          <w:b/>
        </w:rPr>
        <w:t>REPLY:</w:t>
      </w:r>
    </w:p>
    <w:p w:rsidR="003F5AA9" w:rsidRPr="00E111A0" w:rsidRDefault="003F5AA9" w:rsidP="00E111A0">
      <w:pPr>
        <w:pStyle w:val="ListParagraph"/>
        <w:numPr>
          <w:ilvl w:val="0"/>
          <w:numId w:val="2"/>
        </w:numPr>
        <w:spacing w:before="100" w:beforeAutospacing="1" w:after="100" w:afterAutospacing="1" w:line="360" w:lineRule="auto"/>
        <w:ind w:hanging="720"/>
        <w:jc w:val="both"/>
        <w:rPr>
          <w:rFonts w:ascii="Arial" w:hAnsi="Arial" w:cs="Arial"/>
        </w:rPr>
      </w:pPr>
      <w:r w:rsidRPr="00E111A0">
        <w:rPr>
          <w:rFonts w:ascii="Arial" w:hAnsi="Arial" w:cs="Arial"/>
        </w:rPr>
        <w:t>Total discontinued ammunition still in circulation in the SA Police Service:</w:t>
      </w:r>
    </w:p>
    <w:p w:rsidR="003F5AA9" w:rsidRDefault="003F5AA9" w:rsidP="00E111A0">
      <w:pPr>
        <w:pStyle w:val="ListParagraph"/>
        <w:spacing w:before="100" w:beforeAutospacing="1" w:after="100" w:afterAutospacing="1" w:line="360" w:lineRule="auto"/>
        <w:ind w:left="862"/>
        <w:jc w:val="both"/>
        <w:rPr>
          <w:rFonts w:ascii="Arial" w:hAnsi="Arial" w:cs="Arial"/>
        </w:rPr>
      </w:pPr>
    </w:p>
    <w:tbl>
      <w:tblPr>
        <w:tblW w:w="0" w:type="auto"/>
        <w:tblInd w:w="86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A0"/>
      </w:tblPr>
      <w:tblGrid>
        <w:gridCol w:w="2648"/>
        <w:gridCol w:w="2835"/>
        <w:gridCol w:w="2897"/>
      </w:tblGrid>
      <w:tr w:rsidR="003F5AA9" w:rsidRPr="0027392F" w:rsidTr="00B50036">
        <w:tc>
          <w:tcPr>
            <w:tcW w:w="2648" w:type="dxa"/>
            <w:tcBorders>
              <w:top w:val="double" w:sz="4" w:space="0" w:color="auto"/>
              <w:bottom w:val="double" w:sz="4" w:space="0" w:color="auto"/>
            </w:tcBorders>
          </w:tcPr>
          <w:p w:rsidR="003F5AA9" w:rsidRPr="00B50036" w:rsidRDefault="003F5AA9" w:rsidP="00B50036">
            <w:pPr>
              <w:pStyle w:val="ListParagraph"/>
              <w:spacing w:before="100" w:beforeAutospacing="1" w:after="100" w:afterAutospacing="1" w:line="360" w:lineRule="auto"/>
              <w:ind w:left="0"/>
              <w:jc w:val="center"/>
              <w:rPr>
                <w:rFonts w:ascii="Arial" w:hAnsi="Arial" w:cs="Arial"/>
                <w:b/>
                <w:szCs w:val="22"/>
              </w:rPr>
            </w:pPr>
            <w:r w:rsidRPr="00B50036">
              <w:rPr>
                <w:rFonts w:ascii="Arial" w:hAnsi="Arial" w:cs="Arial"/>
                <w:b/>
                <w:szCs w:val="22"/>
              </w:rPr>
              <w:t>PROVINCE</w:t>
            </w:r>
          </w:p>
        </w:tc>
        <w:tc>
          <w:tcPr>
            <w:tcW w:w="2835" w:type="dxa"/>
            <w:tcBorders>
              <w:top w:val="double" w:sz="4" w:space="0" w:color="auto"/>
              <w:bottom w:val="double" w:sz="4" w:space="0" w:color="auto"/>
            </w:tcBorders>
          </w:tcPr>
          <w:p w:rsidR="003F5AA9" w:rsidRPr="00B50036" w:rsidRDefault="003F5AA9" w:rsidP="00B50036">
            <w:pPr>
              <w:pStyle w:val="ListParagraph"/>
              <w:spacing w:before="100" w:beforeAutospacing="1" w:after="100" w:afterAutospacing="1" w:line="360" w:lineRule="auto"/>
              <w:ind w:left="0"/>
              <w:jc w:val="center"/>
              <w:rPr>
                <w:rFonts w:ascii="Arial" w:hAnsi="Arial" w:cs="Arial"/>
                <w:b/>
                <w:szCs w:val="22"/>
              </w:rPr>
            </w:pPr>
            <w:r w:rsidRPr="00B50036">
              <w:rPr>
                <w:rFonts w:ascii="Arial" w:hAnsi="Arial" w:cs="Arial"/>
                <w:b/>
                <w:szCs w:val="22"/>
              </w:rPr>
              <w:t>PREVIOUS QUANTITY</w:t>
            </w:r>
          </w:p>
        </w:tc>
        <w:tc>
          <w:tcPr>
            <w:tcW w:w="2897" w:type="dxa"/>
            <w:tcBorders>
              <w:top w:val="double" w:sz="4" w:space="0" w:color="auto"/>
              <w:bottom w:val="double" w:sz="4" w:space="0" w:color="auto"/>
            </w:tcBorders>
          </w:tcPr>
          <w:p w:rsidR="003F5AA9" w:rsidRPr="00B50036" w:rsidRDefault="003F5AA9" w:rsidP="00B50036">
            <w:pPr>
              <w:pStyle w:val="ListParagraph"/>
              <w:spacing w:before="100" w:beforeAutospacing="1" w:after="100" w:afterAutospacing="1" w:line="360" w:lineRule="auto"/>
              <w:ind w:left="0"/>
              <w:jc w:val="center"/>
              <w:rPr>
                <w:rFonts w:ascii="Arial" w:hAnsi="Arial" w:cs="Arial"/>
                <w:b/>
                <w:szCs w:val="22"/>
              </w:rPr>
            </w:pPr>
            <w:r w:rsidRPr="00B50036">
              <w:rPr>
                <w:rFonts w:ascii="Arial" w:hAnsi="Arial" w:cs="Arial"/>
                <w:b/>
                <w:szCs w:val="22"/>
              </w:rPr>
              <w:t>CURRENT QUANTITY</w:t>
            </w:r>
          </w:p>
        </w:tc>
      </w:tr>
      <w:tr w:rsidR="003F5AA9" w:rsidTr="00B50036">
        <w:tc>
          <w:tcPr>
            <w:tcW w:w="2648" w:type="dxa"/>
            <w:tcBorders>
              <w:top w:val="double" w:sz="4" w:space="0" w:color="auto"/>
            </w:tcBorders>
          </w:tcPr>
          <w:p w:rsidR="003F5AA9" w:rsidRPr="00B50036" w:rsidRDefault="003F5AA9" w:rsidP="00B50036">
            <w:pPr>
              <w:pStyle w:val="ListParagraph"/>
              <w:spacing w:before="100" w:beforeAutospacing="1" w:after="100" w:afterAutospacing="1" w:line="360" w:lineRule="auto"/>
              <w:ind w:left="0"/>
              <w:jc w:val="both"/>
              <w:rPr>
                <w:rFonts w:ascii="Arial" w:hAnsi="Arial" w:cs="Arial"/>
                <w:szCs w:val="22"/>
              </w:rPr>
            </w:pPr>
            <w:r w:rsidRPr="00B50036">
              <w:rPr>
                <w:rFonts w:ascii="Arial" w:hAnsi="Arial" w:cs="Arial"/>
                <w:szCs w:val="22"/>
              </w:rPr>
              <w:t>Western Cape</w:t>
            </w:r>
          </w:p>
        </w:tc>
        <w:tc>
          <w:tcPr>
            <w:tcW w:w="2835" w:type="dxa"/>
            <w:tcBorders>
              <w:top w:val="double" w:sz="4" w:space="0" w:color="auto"/>
            </w:tcBorders>
          </w:tcPr>
          <w:p w:rsidR="003F5AA9" w:rsidRPr="00B50036" w:rsidRDefault="003F5AA9" w:rsidP="00B50036">
            <w:pPr>
              <w:pStyle w:val="ListParagraph"/>
              <w:spacing w:before="100" w:beforeAutospacing="1" w:after="100" w:afterAutospacing="1" w:line="360" w:lineRule="auto"/>
              <w:ind w:left="0"/>
              <w:jc w:val="center"/>
              <w:rPr>
                <w:rFonts w:ascii="Arial" w:hAnsi="Arial" w:cs="Arial"/>
                <w:szCs w:val="22"/>
              </w:rPr>
            </w:pPr>
            <w:r w:rsidRPr="00B50036">
              <w:rPr>
                <w:rFonts w:ascii="Arial" w:hAnsi="Arial" w:cs="Arial"/>
                <w:szCs w:val="22"/>
              </w:rPr>
              <w:t>68,542</w:t>
            </w:r>
          </w:p>
        </w:tc>
        <w:tc>
          <w:tcPr>
            <w:tcW w:w="2897" w:type="dxa"/>
            <w:tcBorders>
              <w:top w:val="double" w:sz="4" w:space="0" w:color="auto"/>
            </w:tcBorders>
          </w:tcPr>
          <w:p w:rsidR="003F5AA9" w:rsidRPr="00B50036" w:rsidRDefault="003F5AA9" w:rsidP="00B50036">
            <w:pPr>
              <w:pStyle w:val="ListParagraph"/>
              <w:spacing w:before="100" w:beforeAutospacing="1" w:after="100" w:afterAutospacing="1" w:line="360" w:lineRule="auto"/>
              <w:ind w:left="0"/>
              <w:jc w:val="center"/>
              <w:rPr>
                <w:rFonts w:ascii="Arial" w:hAnsi="Arial" w:cs="Arial"/>
                <w:szCs w:val="22"/>
              </w:rPr>
            </w:pPr>
            <w:r w:rsidRPr="00B50036">
              <w:rPr>
                <w:rFonts w:ascii="Arial" w:hAnsi="Arial" w:cs="Arial"/>
                <w:szCs w:val="22"/>
              </w:rPr>
              <w:t>74,627</w:t>
            </w:r>
          </w:p>
        </w:tc>
      </w:tr>
      <w:tr w:rsidR="003F5AA9" w:rsidTr="00B50036">
        <w:tc>
          <w:tcPr>
            <w:tcW w:w="2648" w:type="dxa"/>
          </w:tcPr>
          <w:p w:rsidR="003F5AA9" w:rsidRPr="00B50036" w:rsidRDefault="003F5AA9" w:rsidP="00B50036">
            <w:pPr>
              <w:pStyle w:val="ListParagraph"/>
              <w:spacing w:before="100" w:beforeAutospacing="1" w:after="100" w:afterAutospacing="1" w:line="360" w:lineRule="auto"/>
              <w:ind w:left="0"/>
              <w:jc w:val="both"/>
              <w:rPr>
                <w:rFonts w:ascii="Arial" w:hAnsi="Arial" w:cs="Arial"/>
                <w:szCs w:val="22"/>
              </w:rPr>
            </w:pPr>
            <w:r w:rsidRPr="00B50036">
              <w:rPr>
                <w:rFonts w:ascii="Arial" w:hAnsi="Arial" w:cs="Arial"/>
                <w:szCs w:val="22"/>
              </w:rPr>
              <w:t>Eastern Cape</w:t>
            </w:r>
          </w:p>
        </w:tc>
        <w:tc>
          <w:tcPr>
            <w:tcW w:w="2835" w:type="dxa"/>
          </w:tcPr>
          <w:p w:rsidR="003F5AA9" w:rsidRPr="00B50036" w:rsidRDefault="003F5AA9" w:rsidP="00B50036">
            <w:pPr>
              <w:pStyle w:val="ListParagraph"/>
              <w:spacing w:before="100" w:beforeAutospacing="1" w:after="100" w:afterAutospacing="1" w:line="360" w:lineRule="auto"/>
              <w:ind w:left="0"/>
              <w:jc w:val="center"/>
              <w:rPr>
                <w:rFonts w:ascii="Arial" w:hAnsi="Arial" w:cs="Arial"/>
                <w:szCs w:val="22"/>
              </w:rPr>
            </w:pPr>
            <w:r w:rsidRPr="00B50036">
              <w:rPr>
                <w:rFonts w:ascii="Arial" w:hAnsi="Arial" w:cs="Arial"/>
                <w:szCs w:val="22"/>
              </w:rPr>
              <w:t>538,937</w:t>
            </w:r>
          </w:p>
        </w:tc>
        <w:tc>
          <w:tcPr>
            <w:tcW w:w="2897" w:type="dxa"/>
          </w:tcPr>
          <w:p w:rsidR="003F5AA9" w:rsidRPr="00B50036" w:rsidRDefault="003F5AA9" w:rsidP="00B50036">
            <w:pPr>
              <w:pStyle w:val="ListParagraph"/>
              <w:spacing w:before="100" w:beforeAutospacing="1" w:after="100" w:afterAutospacing="1" w:line="360" w:lineRule="auto"/>
              <w:ind w:left="0"/>
              <w:jc w:val="center"/>
              <w:rPr>
                <w:rFonts w:ascii="Arial" w:hAnsi="Arial" w:cs="Arial"/>
                <w:szCs w:val="22"/>
              </w:rPr>
            </w:pPr>
            <w:r w:rsidRPr="00B50036">
              <w:rPr>
                <w:rFonts w:ascii="Arial" w:hAnsi="Arial" w:cs="Arial"/>
                <w:szCs w:val="22"/>
              </w:rPr>
              <w:t>594,806</w:t>
            </w:r>
          </w:p>
        </w:tc>
      </w:tr>
      <w:tr w:rsidR="003F5AA9" w:rsidTr="00B50036">
        <w:tc>
          <w:tcPr>
            <w:tcW w:w="2648" w:type="dxa"/>
          </w:tcPr>
          <w:p w:rsidR="003F5AA9" w:rsidRPr="00B50036" w:rsidRDefault="003F5AA9" w:rsidP="00B50036">
            <w:pPr>
              <w:pStyle w:val="ListParagraph"/>
              <w:spacing w:before="100" w:beforeAutospacing="1" w:after="100" w:afterAutospacing="1" w:line="360" w:lineRule="auto"/>
              <w:ind w:left="0"/>
              <w:jc w:val="both"/>
              <w:rPr>
                <w:rFonts w:ascii="Arial" w:hAnsi="Arial" w:cs="Arial"/>
                <w:szCs w:val="22"/>
              </w:rPr>
            </w:pPr>
            <w:r w:rsidRPr="00B50036">
              <w:rPr>
                <w:rFonts w:ascii="Arial" w:hAnsi="Arial" w:cs="Arial"/>
                <w:szCs w:val="22"/>
              </w:rPr>
              <w:t>Northern Cape</w:t>
            </w:r>
          </w:p>
        </w:tc>
        <w:tc>
          <w:tcPr>
            <w:tcW w:w="2835" w:type="dxa"/>
          </w:tcPr>
          <w:p w:rsidR="003F5AA9" w:rsidRPr="00B50036" w:rsidRDefault="003F5AA9" w:rsidP="00B50036">
            <w:pPr>
              <w:pStyle w:val="ListParagraph"/>
              <w:spacing w:before="100" w:beforeAutospacing="1" w:after="100" w:afterAutospacing="1" w:line="360" w:lineRule="auto"/>
              <w:ind w:left="0"/>
              <w:jc w:val="center"/>
              <w:rPr>
                <w:rFonts w:ascii="Arial" w:hAnsi="Arial" w:cs="Arial"/>
                <w:szCs w:val="22"/>
              </w:rPr>
            </w:pPr>
            <w:r w:rsidRPr="00B50036">
              <w:rPr>
                <w:rFonts w:ascii="Arial" w:hAnsi="Arial" w:cs="Arial"/>
                <w:szCs w:val="22"/>
              </w:rPr>
              <w:t>104,459</w:t>
            </w:r>
          </w:p>
        </w:tc>
        <w:tc>
          <w:tcPr>
            <w:tcW w:w="2897" w:type="dxa"/>
          </w:tcPr>
          <w:p w:rsidR="003F5AA9" w:rsidRPr="00B50036" w:rsidRDefault="003F5AA9" w:rsidP="00B50036">
            <w:pPr>
              <w:pStyle w:val="ListParagraph"/>
              <w:spacing w:before="100" w:beforeAutospacing="1" w:after="100" w:afterAutospacing="1" w:line="360" w:lineRule="auto"/>
              <w:ind w:left="0"/>
              <w:jc w:val="center"/>
              <w:rPr>
                <w:rFonts w:ascii="Arial" w:hAnsi="Arial" w:cs="Arial"/>
                <w:szCs w:val="22"/>
              </w:rPr>
            </w:pPr>
            <w:r w:rsidRPr="00B50036">
              <w:rPr>
                <w:rFonts w:ascii="Arial" w:hAnsi="Arial" w:cs="Arial"/>
                <w:szCs w:val="22"/>
              </w:rPr>
              <w:t>38,326</w:t>
            </w:r>
          </w:p>
        </w:tc>
      </w:tr>
      <w:tr w:rsidR="003F5AA9" w:rsidTr="00B50036">
        <w:tc>
          <w:tcPr>
            <w:tcW w:w="2648" w:type="dxa"/>
          </w:tcPr>
          <w:p w:rsidR="003F5AA9" w:rsidRPr="00B50036" w:rsidRDefault="003F5AA9" w:rsidP="00B50036">
            <w:pPr>
              <w:pStyle w:val="ListParagraph"/>
              <w:spacing w:before="100" w:beforeAutospacing="1" w:after="100" w:afterAutospacing="1" w:line="360" w:lineRule="auto"/>
              <w:ind w:left="0"/>
              <w:jc w:val="both"/>
              <w:rPr>
                <w:rFonts w:ascii="Arial" w:hAnsi="Arial" w:cs="Arial"/>
                <w:szCs w:val="22"/>
              </w:rPr>
            </w:pPr>
            <w:r w:rsidRPr="00B50036">
              <w:rPr>
                <w:rFonts w:ascii="Arial" w:hAnsi="Arial" w:cs="Arial"/>
                <w:szCs w:val="22"/>
              </w:rPr>
              <w:t>Free State</w:t>
            </w:r>
          </w:p>
        </w:tc>
        <w:tc>
          <w:tcPr>
            <w:tcW w:w="2835" w:type="dxa"/>
          </w:tcPr>
          <w:p w:rsidR="003F5AA9" w:rsidRPr="00B50036" w:rsidRDefault="003F5AA9" w:rsidP="00B50036">
            <w:pPr>
              <w:pStyle w:val="ListParagraph"/>
              <w:spacing w:before="100" w:beforeAutospacing="1" w:after="100" w:afterAutospacing="1" w:line="360" w:lineRule="auto"/>
              <w:ind w:left="0"/>
              <w:jc w:val="center"/>
              <w:rPr>
                <w:rFonts w:ascii="Arial" w:hAnsi="Arial" w:cs="Arial"/>
                <w:szCs w:val="22"/>
              </w:rPr>
            </w:pPr>
            <w:r w:rsidRPr="00B50036">
              <w:rPr>
                <w:rFonts w:ascii="Arial" w:hAnsi="Arial" w:cs="Arial"/>
                <w:szCs w:val="22"/>
              </w:rPr>
              <w:t>410,981</w:t>
            </w:r>
          </w:p>
        </w:tc>
        <w:tc>
          <w:tcPr>
            <w:tcW w:w="2897" w:type="dxa"/>
          </w:tcPr>
          <w:p w:rsidR="003F5AA9" w:rsidRPr="00B50036" w:rsidRDefault="003F5AA9" w:rsidP="00B50036">
            <w:pPr>
              <w:pStyle w:val="ListParagraph"/>
              <w:spacing w:before="100" w:beforeAutospacing="1" w:after="100" w:afterAutospacing="1" w:line="360" w:lineRule="auto"/>
              <w:ind w:left="0"/>
              <w:jc w:val="center"/>
              <w:rPr>
                <w:rFonts w:ascii="Arial" w:hAnsi="Arial" w:cs="Arial"/>
                <w:szCs w:val="22"/>
              </w:rPr>
            </w:pPr>
            <w:r w:rsidRPr="00B50036">
              <w:rPr>
                <w:rFonts w:ascii="Arial" w:hAnsi="Arial" w:cs="Arial"/>
                <w:szCs w:val="22"/>
              </w:rPr>
              <w:t>135,065</w:t>
            </w:r>
          </w:p>
        </w:tc>
      </w:tr>
      <w:tr w:rsidR="003F5AA9" w:rsidTr="00B50036">
        <w:tc>
          <w:tcPr>
            <w:tcW w:w="2648" w:type="dxa"/>
          </w:tcPr>
          <w:p w:rsidR="003F5AA9" w:rsidRPr="00B50036" w:rsidRDefault="003F5AA9" w:rsidP="00B50036">
            <w:pPr>
              <w:pStyle w:val="ListParagraph"/>
              <w:spacing w:before="100" w:beforeAutospacing="1" w:after="100" w:afterAutospacing="1" w:line="360" w:lineRule="auto"/>
              <w:ind w:left="0"/>
              <w:jc w:val="both"/>
              <w:rPr>
                <w:rFonts w:ascii="Arial" w:hAnsi="Arial" w:cs="Arial"/>
                <w:szCs w:val="22"/>
              </w:rPr>
            </w:pPr>
            <w:r w:rsidRPr="00B50036">
              <w:rPr>
                <w:rFonts w:ascii="Arial" w:hAnsi="Arial" w:cs="Arial"/>
                <w:szCs w:val="22"/>
              </w:rPr>
              <w:t>KwaZulu-Natal</w:t>
            </w:r>
          </w:p>
        </w:tc>
        <w:tc>
          <w:tcPr>
            <w:tcW w:w="2835" w:type="dxa"/>
          </w:tcPr>
          <w:p w:rsidR="003F5AA9" w:rsidRPr="00B50036" w:rsidRDefault="003F5AA9" w:rsidP="00B50036">
            <w:pPr>
              <w:pStyle w:val="ListParagraph"/>
              <w:spacing w:before="100" w:beforeAutospacing="1" w:after="100" w:afterAutospacing="1" w:line="360" w:lineRule="auto"/>
              <w:ind w:left="0"/>
              <w:jc w:val="center"/>
              <w:rPr>
                <w:rFonts w:ascii="Arial" w:hAnsi="Arial" w:cs="Arial"/>
                <w:szCs w:val="22"/>
              </w:rPr>
            </w:pPr>
            <w:r w:rsidRPr="00B50036">
              <w:rPr>
                <w:rFonts w:ascii="Arial" w:hAnsi="Arial" w:cs="Arial"/>
                <w:szCs w:val="22"/>
              </w:rPr>
              <w:t>523,978</w:t>
            </w:r>
          </w:p>
        </w:tc>
        <w:tc>
          <w:tcPr>
            <w:tcW w:w="2897" w:type="dxa"/>
          </w:tcPr>
          <w:p w:rsidR="003F5AA9" w:rsidRPr="00B50036" w:rsidRDefault="003F5AA9" w:rsidP="00B50036">
            <w:pPr>
              <w:pStyle w:val="ListParagraph"/>
              <w:spacing w:before="100" w:beforeAutospacing="1" w:after="100" w:afterAutospacing="1" w:line="360" w:lineRule="auto"/>
              <w:ind w:left="0"/>
              <w:jc w:val="center"/>
              <w:rPr>
                <w:rFonts w:ascii="Arial" w:hAnsi="Arial" w:cs="Arial"/>
                <w:szCs w:val="22"/>
              </w:rPr>
            </w:pPr>
            <w:r w:rsidRPr="00B50036">
              <w:rPr>
                <w:rFonts w:ascii="Arial" w:hAnsi="Arial" w:cs="Arial"/>
                <w:szCs w:val="22"/>
              </w:rPr>
              <w:t>228,164</w:t>
            </w:r>
          </w:p>
        </w:tc>
      </w:tr>
      <w:tr w:rsidR="003F5AA9" w:rsidTr="00B50036">
        <w:tc>
          <w:tcPr>
            <w:tcW w:w="2648" w:type="dxa"/>
          </w:tcPr>
          <w:p w:rsidR="003F5AA9" w:rsidRPr="00B50036" w:rsidRDefault="003F5AA9" w:rsidP="00B50036">
            <w:pPr>
              <w:pStyle w:val="ListParagraph"/>
              <w:spacing w:before="100" w:beforeAutospacing="1" w:after="100" w:afterAutospacing="1" w:line="360" w:lineRule="auto"/>
              <w:ind w:left="0"/>
              <w:jc w:val="both"/>
              <w:rPr>
                <w:rFonts w:ascii="Arial" w:hAnsi="Arial" w:cs="Arial"/>
                <w:szCs w:val="22"/>
              </w:rPr>
            </w:pPr>
            <w:r w:rsidRPr="00B50036">
              <w:rPr>
                <w:rFonts w:ascii="Arial" w:hAnsi="Arial" w:cs="Arial"/>
                <w:szCs w:val="22"/>
              </w:rPr>
              <w:t>North West</w:t>
            </w:r>
          </w:p>
        </w:tc>
        <w:tc>
          <w:tcPr>
            <w:tcW w:w="2835" w:type="dxa"/>
          </w:tcPr>
          <w:p w:rsidR="003F5AA9" w:rsidRPr="00B50036" w:rsidRDefault="003F5AA9" w:rsidP="00B50036">
            <w:pPr>
              <w:pStyle w:val="ListParagraph"/>
              <w:spacing w:before="100" w:beforeAutospacing="1" w:after="100" w:afterAutospacing="1" w:line="360" w:lineRule="auto"/>
              <w:ind w:left="0"/>
              <w:jc w:val="center"/>
              <w:rPr>
                <w:rFonts w:ascii="Arial" w:hAnsi="Arial" w:cs="Arial"/>
                <w:szCs w:val="22"/>
              </w:rPr>
            </w:pPr>
            <w:r w:rsidRPr="00B50036">
              <w:rPr>
                <w:rFonts w:ascii="Arial" w:hAnsi="Arial" w:cs="Arial"/>
                <w:szCs w:val="22"/>
              </w:rPr>
              <w:t>233,850</w:t>
            </w:r>
          </w:p>
        </w:tc>
        <w:tc>
          <w:tcPr>
            <w:tcW w:w="2897" w:type="dxa"/>
          </w:tcPr>
          <w:p w:rsidR="003F5AA9" w:rsidRPr="00B50036" w:rsidRDefault="003F5AA9" w:rsidP="00B50036">
            <w:pPr>
              <w:pStyle w:val="ListParagraph"/>
              <w:spacing w:before="100" w:beforeAutospacing="1" w:after="100" w:afterAutospacing="1" w:line="360" w:lineRule="auto"/>
              <w:ind w:left="0"/>
              <w:jc w:val="center"/>
              <w:rPr>
                <w:rFonts w:ascii="Arial" w:hAnsi="Arial" w:cs="Arial"/>
                <w:szCs w:val="22"/>
              </w:rPr>
            </w:pPr>
            <w:r w:rsidRPr="00B50036">
              <w:rPr>
                <w:rFonts w:ascii="Arial" w:hAnsi="Arial" w:cs="Arial"/>
                <w:szCs w:val="22"/>
              </w:rPr>
              <w:t>24,120</w:t>
            </w:r>
          </w:p>
        </w:tc>
      </w:tr>
      <w:tr w:rsidR="003F5AA9" w:rsidTr="00B50036">
        <w:tc>
          <w:tcPr>
            <w:tcW w:w="2648" w:type="dxa"/>
          </w:tcPr>
          <w:p w:rsidR="003F5AA9" w:rsidRPr="00B50036" w:rsidRDefault="003F5AA9" w:rsidP="00B50036">
            <w:pPr>
              <w:pStyle w:val="ListParagraph"/>
              <w:spacing w:before="100" w:beforeAutospacing="1" w:after="100" w:afterAutospacing="1" w:line="360" w:lineRule="auto"/>
              <w:ind w:left="0"/>
              <w:jc w:val="both"/>
              <w:rPr>
                <w:rFonts w:ascii="Arial" w:hAnsi="Arial" w:cs="Arial"/>
                <w:szCs w:val="22"/>
              </w:rPr>
            </w:pPr>
            <w:r w:rsidRPr="00B50036">
              <w:rPr>
                <w:rFonts w:ascii="Arial" w:hAnsi="Arial" w:cs="Arial"/>
                <w:szCs w:val="22"/>
              </w:rPr>
              <w:t>Mpumalanga</w:t>
            </w:r>
          </w:p>
        </w:tc>
        <w:tc>
          <w:tcPr>
            <w:tcW w:w="2835" w:type="dxa"/>
          </w:tcPr>
          <w:p w:rsidR="003F5AA9" w:rsidRPr="00B50036" w:rsidRDefault="003F5AA9" w:rsidP="00B50036">
            <w:pPr>
              <w:pStyle w:val="ListParagraph"/>
              <w:spacing w:before="100" w:beforeAutospacing="1" w:after="100" w:afterAutospacing="1" w:line="360" w:lineRule="auto"/>
              <w:ind w:left="0"/>
              <w:jc w:val="center"/>
              <w:rPr>
                <w:rFonts w:ascii="Arial" w:hAnsi="Arial" w:cs="Arial"/>
                <w:szCs w:val="22"/>
              </w:rPr>
            </w:pPr>
            <w:r w:rsidRPr="00B50036">
              <w:rPr>
                <w:rFonts w:ascii="Arial" w:hAnsi="Arial" w:cs="Arial"/>
                <w:szCs w:val="22"/>
              </w:rPr>
              <w:t>296,479</w:t>
            </w:r>
          </w:p>
        </w:tc>
        <w:tc>
          <w:tcPr>
            <w:tcW w:w="2897" w:type="dxa"/>
          </w:tcPr>
          <w:p w:rsidR="003F5AA9" w:rsidRPr="00B50036" w:rsidRDefault="003F5AA9" w:rsidP="00B50036">
            <w:pPr>
              <w:pStyle w:val="ListParagraph"/>
              <w:spacing w:before="100" w:beforeAutospacing="1" w:after="100" w:afterAutospacing="1" w:line="360" w:lineRule="auto"/>
              <w:ind w:left="0"/>
              <w:jc w:val="center"/>
              <w:rPr>
                <w:rFonts w:ascii="Arial" w:hAnsi="Arial" w:cs="Arial"/>
                <w:szCs w:val="22"/>
              </w:rPr>
            </w:pPr>
            <w:r w:rsidRPr="00B50036">
              <w:rPr>
                <w:rFonts w:ascii="Arial" w:hAnsi="Arial" w:cs="Arial"/>
                <w:szCs w:val="22"/>
              </w:rPr>
              <w:t>92,676</w:t>
            </w:r>
          </w:p>
        </w:tc>
      </w:tr>
      <w:tr w:rsidR="003F5AA9" w:rsidTr="00B50036">
        <w:tc>
          <w:tcPr>
            <w:tcW w:w="2648" w:type="dxa"/>
          </w:tcPr>
          <w:p w:rsidR="003F5AA9" w:rsidRPr="00B50036" w:rsidRDefault="003F5AA9" w:rsidP="00B50036">
            <w:pPr>
              <w:pStyle w:val="ListParagraph"/>
              <w:spacing w:before="100" w:beforeAutospacing="1" w:after="100" w:afterAutospacing="1" w:line="360" w:lineRule="auto"/>
              <w:ind w:left="0"/>
              <w:jc w:val="both"/>
              <w:rPr>
                <w:rFonts w:ascii="Arial" w:hAnsi="Arial" w:cs="Arial"/>
                <w:szCs w:val="22"/>
              </w:rPr>
            </w:pPr>
            <w:r w:rsidRPr="00B50036">
              <w:rPr>
                <w:rFonts w:ascii="Arial" w:hAnsi="Arial" w:cs="Arial"/>
                <w:szCs w:val="22"/>
              </w:rPr>
              <w:t>Limpopo</w:t>
            </w:r>
          </w:p>
        </w:tc>
        <w:tc>
          <w:tcPr>
            <w:tcW w:w="2835" w:type="dxa"/>
          </w:tcPr>
          <w:p w:rsidR="003F5AA9" w:rsidRPr="00B50036" w:rsidRDefault="003F5AA9" w:rsidP="00B50036">
            <w:pPr>
              <w:pStyle w:val="ListParagraph"/>
              <w:spacing w:before="100" w:beforeAutospacing="1" w:after="100" w:afterAutospacing="1" w:line="360" w:lineRule="auto"/>
              <w:ind w:left="0"/>
              <w:jc w:val="center"/>
              <w:rPr>
                <w:rFonts w:ascii="Arial" w:hAnsi="Arial" w:cs="Arial"/>
                <w:szCs w:val="22"/>
              </w:rPr>
            </w:pPr>
            <w:r w:rsidRPr="00B50036">
              <w:rPr>
                <w:rFonts w:ascii="Arial" w:hAnsi="Arial" w:cs="Arial"/>
                <w:szCs w:val="22"/>
              </w:rPr>
              <w:t>35,080</w:t>
            </w:r>
          </w:p>
        </w:tc>
        <w:tc>
          <w:tcPr>
            <w:tcW w:w="2897" w:type="dxa"/>
          </w:tcPr>
          <w:p w:rsidR="003F5AA9" w:rsidRPr="00B50036" w:rsidRDefault="003F5AA9" w:rsidP="00B50036">
            <w:pPr>
              <w:pStyle w:val="ListParagraph"/>
              <w:spacing w:before="100" w:beforeAutospacing="1" w:after="100" w:afterAutospacing="1" w:line="360" w:lineRule="auto"/>
              <w:ind w:left="0"/>
              <w:jc w:val="center"/>
              <w:rPr>
                <w:rFonts w:ascii="Arial" w:hAnsi="Arial" w:cs="Arial"/>
                <w:szCs w:val="22"/>
              </w:rPr>
            </w:pPr>
            <w:r w:rsidRPr="00B50036">
              <w:rPr>
                <w:rFonts w:ascii="Arial" w:hAnsi="Arial" w:cs="Arial"/>
                <w:szCs w:val="22"/>
              </w:rPr>
              <w:t>10,446</w:t>
            </w:r>
          </w:p>
        </w:tc>
      </w:tr>
      <w:tr w:rsidR="003F5AA9" w:rsidTr="00B50036">
        <w:tc>
          <w:tcPr>
            <w:tcW w:w="2648" w:type="dxa"/>
          </w:tcPr>
          <w:p w:rsidR="003F5AA9" w:rsidRPr="00B50036" w:rsidRDefault="003F5AA9" w:rsidP="00B50036">
            <w:pPr>
              <w:pStyle w:val="ListParagraph"/>
              <w:spacing w:before="100" w:beforeAutospacing="1" w:after="100" w:afterAutospacing="1" w:line="360" w:lineRule="auto"/>
              <w:ind w:left="0"/>
              <w:jc w:val="both"/>
              <w:rPr>
                <w:rFonts w:ascii="Arial" w:hAnsi="Arial" w:cs="Arial"/>
                <w:szCs w:val="22"/>
              </w:rPr>
            </w:pPr>
            <w:r w:rsidRPr="00B50036">
              <w:rPr>
                <w:rFonts w:ascii="Arial" w:hAnsi="Arial" w:cs="Arial"/>
                <w:szCs w:val="22"/>
              </w:rPr>
              <w:t>Gauteng</w:t>
            </w:r>
          </w:p>
        </w:tc>
        <w:tc>
          <w:tcPr>
            <w:tcW w:w="2835" w:type="dxa"/>
          </w:tcPr>
          <w:p w:rsidR="003F5AA9" w:rsidRPr="00B50036" w:rsidRDefault="003F5AA9" w:rsidP="00B50036">
            <w:pPr>
              <w:pStyle w:val="ListParagraph"/>
              <w:spacing w:before="100" w:beforeAutospacing="1" w:after="100" w:afterAutospacing="1" w:line="360" w:lineRule="auto"/>
              <w:ind w:left="0"/>
              <w:jc w:val="center"/>
              <w:rPr>
                <w:rFonts w:ascii="Arial" w:hAnsi="Arial" w:cs="Arial"/>
                <w:szCs w:val="22"/>
              </w:rPr>
            </w:pPr>
            <w:r w:rsidRPr="00B50036">
              <w:rPr>
                <w:rFonts w:ascii="Arial" w:hAnsi="Arial" w:cs="Arial"/>
                <w:szCs w:val="22"/>
              </w:rPr>
              <w:t>71,764</w:t>
            </w:r>
          </w:p>
        </w:tc>
        <w:tc>
          <w:tcPr>
            <w:tcW w:w="2897" w:type="dxa"/>
          </w:tcPr>
          <w:p w:rsidR="003F5AA9" w:rsidRPr="00B50036" w:rsidRDefault="003F5AA9" w:rsidP="00B50036">
            <w:pPr>
              <w:pStyle w:val="ListParagraph"/>
              <w:spacing w:before="100" w:beforeAutospacing="1" w:after="100" w:afterAutospacing="1" w:line="360" w:lineRule="auto"/>
              <w:ind w:left="0"/>
              <w:jc w:val="center"/>
              <w:rPr>
                <w:rFonts w:ascii="Arial" w:hAnsi="Arial" w:cs="Arial"/>
                <w:szCs w:val="22"/>
              </w:rPr>
            </w:pPr>
            <w:r w:rsidRPr="00B50036">
              <w:rPr>
                <w:rFonts w:ascii="Arial" w:hAnsi="Arial" w:cs="Arial"/>
                <w:szCs w:val="22"/>
              </w:rPr>
              <w:t>63,209</w:t>
            </w:r>
          </w:p>
        </w:tc>
      </w:tr>
      <w:tr w:rsidR="003F5AA9" w:rsidTr="00B50036">
        <w:tc>
          <w:tcPr>
            <w:tcW w:w="2648" w:type="dxa"/>
            <w:tcBorders>
              <w:bottom w:val="double" w:sz="4" w:space="0" w:color="auto"/>
            </w:tcBorders>
          </w:tcPr>
          <w:p w:rsidR="003F5AA9" w:rsidRPr="00B50036" w:rsidRDefault="003F5AA9" w:rsidP="00B50036">
            <w:pPr>
              <w:pStyle w:val="ListParagraph"/>
              <w:spacing w:before="100" w:beforeAutospacing="1" w:after="100" w:afterAutospacing="1" w:line="360" w:lineRule="auto"/>
              <w:ind w:left="0"/>
              <w:jc w:val="both"/>
              <w:rPr>
                <w:rFonts w:ascii="Arial" w:hAnsi="Arial" w:cs="Arial"/>
                <w:szCs w:val="22"/>
              </w:rPr>
            </w:pPr>
            <w:r w:rsidRPr="00B50036">
              <w:rPr>
                <w:rFonts w:ascii="Arial" w:hAnsi="Arial" w:cs="Arial"/>
                <w:szCs w:val="22"/>
              </w:rPr>
              <w:t>Head Office Divisions</w:t>
            </w:r>
          </w:p>
        </w:tc>
        <w:tc>
          <w:tcPr>
            <w:tcW w:w="2835" w:type="dxa"/>
            <w:tcBorders>
              <w:bottom w:val="double" w:sz="4" w:space="0" w:color="auto"/>
            </w:tcBorders>
          </w:tcPr>
          <w:p w:rsidR="003F5AA9" w:rsidRPr="00B50036" w:rsidRDefault="003F5AA9" w:rsidP="00B50036">
            <w:pPr>
              <w:pStyle w:val="ListParagraph"/>
              <w:spacing w:before="100" w:beforeAutospacing="1" w:after="100" w:afterAutospacing="1" w:line="360" w:lineRule="auto"/>
              <w:ind w:left="0"/>
              <w:jc w:val="center"/>
              <w:rPr>
                <w:rFonts w:ascii="Arial" w:hAnsi="Arial" w:cs="Arial"/>
                <w:szCs w:val="22"/>
              </w:rPr>
            </w:pPr>
            <w:r w:rsidRPr="00B50036">
              <w:rPr>
                <w:rFonts w:ascii="Arial" w:hAnsi="Arial" w:cs="Arial"/>
                <w:szCs w:val="22"/>
              </w:rPr>
              <w:t>2,061,456</w:t>
            </w:r>
          </w:p>
        </w:tc>
        <w:tc>
          <w:tcPr>
            <w:tcW w:w="2897" w:type="dxa"/>
            <w:tcBorders>
              <w:bottom w:val="double" w:sz="4" w:space="0" w:color="auto"/>
            </w:tcBorders>
          </w:tcPr>
          <w:p w:rsidR="003F5AA9" w:rsidRPr="00B50036" w:rsidRDefault="003F5AA9" w:rsidP="00B50036">
            <w:pPr>
              <w:pStyle w:val="ListParagraph"/>
              <w:spacing w:before="100" w:beforeAutospacing="1" w:after="100" w:afterAutospacing="1" w:line="360" w:lineRule="auto"/>
              <w:ind w:left="0"/>
              <w:jc w:val="center"/>
              <w:rPr>
                <w:rFonts w:ascii="Arial" w:hAnsi="Arial" w:cs="Arial"/>
                <w:szCs w:val="22"/>
              </w:rPr>
            </w:pPr>
            <w:r w:rsidRPr="00B50036">
              <w:rPr>
                <w:rFonts w:ascii="Arial" w:hAnsi="Arial" w:cs="Arial"/>
                <w:szCs w:val="22"/>
              </w:rPr>
              <w:t>1,704,286</w:t>
            </w:r>
          </w:p>
        </w:tc>
      </w:tr>
      <w:tr w:rsidR="003F5AA9" w:rsidRPr="00833FE3" w:rsidTr="00B50036">
        <w:tc>
          <w:tcPr>
            <w:tcW w:w="2648" w:type="dxa"/>
            <w:tcBorders>
              <w:top w:val="double" w:sz="4" w:space="0" w:color="auto"/>
              <w:bottom w:val="double" w:sz="4" w:space="0" w:color="auto"/>
            </w:tcBorders>
          </w:tcPr>
          <w:p w:rsidR="003F5AA9" w:rsidRPr="00B50036" w:rsidRDefault="003F5AA9" w:rsidP="00B50036">
            <w:pPr>
              <w:pStyle w:val="ListParagraph"/>
              <w:spacing w:before="100" w:beforeAutospacing="1" w:after="100" w:afterAutospacing="1" w:line="360" w:lineRule="auto"/>
              <w:ind w:left="0"/>
              <w:jc w:val="right"/>
              <w:rPr>
                <w:rFonts w:ascii="Arial" w:hAnsi="Arial" w:cs="Arial"/>
                <w:b/>
                <w:szCs w:val="22"/>
              </w:rPr>
            </w:pPr>
            <w:r w:rsidRPr="00B50036">
              <w:rPr>
                <w:rFonts w:ascii="Arial" w:hAnsi="Arial" w:cs="Arial"/>
                <w:b/>
                <w:szCs w:val="22"/>
              </w:rPr>
              <w:t xml:space="preserve">TOTAL:  </w:t>
            </w:r>
          </w:p>
        </w:tc>
        <w:tc>
          <w:tcPr>
            <w:tcW w:w="2835" w:type="dxa"/>
            <w:tcBorders>
              <w:top w:val="double" w:sz="4" w:space="0" w:color="auto"/>
              <w:bottom w:val="double" w:sz="4" w:space="0" w:color="auto"/>
            </w:tcBorders>
          </w:tcPr>
          <w:p w:rsidR="003F5AA9" w:rsidRPr="00B50036" w:rsidRDefault="003F5AA9" w:rsidP="00B50036">
            <w:pPr>
              <w:pStyle w:val="ListParagraph"/>
              <w:spacing w:before="100" w:beforeAutospacing="1" w:after="100" w:afterAutospacing="1" w:line="360" w:lineRule="auto"/>
              <w:ind w:left="0"/>
              <w:jc w:val="center"/>
              <w:rPr>
                <w:rFonts w:ascii="Arial" w:hAnsi="Arial" w:cs="Arial"/>
                <w:b/>
                <w:szCs w:val="22"/>
              </w:rPr>
            </w:pPr>
            <w:r w:rsidRPr="00B50036">
              <w:rPr>
                <w:rFonts w:ascii="Arial" w:hAnsi="Arial" w:cs="Arial"/>
                <w:b/>
                <w:szCs w:val="22"/>
              </w:rPr>
              <w:t>4,345,526</w:t>
            </w:r>
          </w:p>
        </w:tc>
        <w:tc>
          <w:tcPr>
            <w:tcW w:w="2897" w:type="dxa"/>
            <w:tcBorders>
              <w:top w:val="double" w:sz="4" w:space="0" w:color="auto"/>
              <w:bottom w:val="double" w:sz="4" w:space="0" w:color="auto"/>
            </w:tcBorders>
          </w:tcPr>
          <w:p w:rsidR="003F5AA9" w:rsidRPr="00B50036" w:rsidRDefault="003F5AA9" w:rsidP="00B50036">
            <w:pPr>
              <w:pStyle w:val="ListParagraph"/>
              <w:spacing w:before="100" w:beforeAutospacing="1" w:after="100" w:afterAutospacing="1" w:line="360" w:lineRule="auto"/>
              <w:ind w:left="0"/>
              <w:jc w:val="center"/>
              <w:rPr>
                <w:rFonts w:ascii="Arial" w:hAnsi="Arial" w:cs="Arial"/>
                <w:b/>
                <w:szCs w:val="22"/>
              </w:rPr>
            </w:pPr>
            <w:r w:rsidRPr="00B50036">
              <w:rPr>
                <w:rFonts w:ascii="Arial" w:hAnsi="Arial" w:cs="Arial"/>
                <w:b/>
                <w:szCs w:val="22"/>
              </w:rPr>
              <w:t>2,965,725</w:t>
            </w:r>
          </w:p>
        </w:tc>
      </w:tr>
    </w:tbl>
    <w:p w:rsidR="003F5AA9" w:rsidRDefault="003F5AA9" w:rsidP="00E111A0">
      <w:pPr>
        <w:spacing w:before="100" w:beforeAutospacing="1" w:after="100" w:afterAutospacing="1" w:line="360" w:lineRule="auto"/>
        <w:ind w:left="720"/>
        <w:jc w:val="both"/>
        <w:rPr>
          <w:rFonts w:ascii="Arial" w:hAnsi="Arial" w:cs="Arial"/>
        </w:rPr>
      </w:pPr>
      <w:r>
        <w:rPr>
          <w:rFonts w:ascii="Arial" w:hAnsi="Arial" w:cs="Arial"/>
        </w:rPr>
        <w:t xml:space="preserve">This ammunition may only be used for training purposes. However, this ammunition is still in use by Specialized Units within the SAPS for training, ballistic testing of firearms and IBIS test firing purposes. </w:t>
      </w:r>
    </w:p>
    <w:p w:rsidR="003F5AA9" w:rsidRPr="00E111A0" w:rsidRDefault="003F5AA9" w:rsidP="00E111A0">
      <w:pPr>
        <w:pStyle w:val="ListParagraph"/>
        <w:numPr>
          <w:ilvl w:val="0"/>
          <w:numId w:val="2"/>
        </w:numPr>
        <w:spacing w:before="100" w:beforeAutospacing="1" w:after="100" w:afterAutospacing="1" w:line="360" w:lineRule="auto"/>
        <w:ind w:left="567" w:hanging="567"/>
        <w:jc w:val="both"/>
        <w:rPr>
          <w:rFonts w:ascii="Arial" w:hAnsi="Arial" w:cs="Arial"/>
        </w:rPr>
      </w:pPr>
      <w:r w:rsidRPr="00E111A0">
        <w:rPr>
          <w:rFonts w:ascii="Arial" w:hAnsi="Arial" w:cs="Arial"/>
        </w:rPr>
        <w:t>An instruction to withdraw all such ammunition was issued from the Divisional Commissioner, Supply Chain Management on 12 September 2006, which also instructed that such ammunition may not be issued any longer as from this date.</w:t>
      </w:r>
    </w:p>
    <w:p w:rsidR="003F5AA9" w:rsidRPr="00E111A0" w:rsidRDefault="003F5AA9" w:rsidP="00E111A0">
      <w:pPr>
        <w:spacing w:before="100" w:beforeAutospacing="1" w:after="100" w:afterAutospacing="1" w:line="360" w:lineRule="auto"/>
        <w:ind w:left="567"/>
        <w:jc w:val="both"/>
        <w:rPr>
          <w:rFonts w:ascii="Arial" w:hAnsi="Arial" w:cs="Arial"/>
        </w:rPr>
      </w:pPr>
      <w:r w:rsidRPr="00E111A0">
        <w:rPr>
          <w:rFonts w:ascii="Arial" w:hAnsi="Arial" w:cs="Arial"/>
        </w:rPr>
        <w:t>Recently another instruction in regard was issued by the Divisional Commissioner, Supply Chain Management to all Provisional Commissioners and Divisional Commissioners to immediately withdraw all non-standard, obsolete and unserviceable ammunition not in use, from their respective provinces and divisions.</w:t>
      </w:r>
    </w:p>
    <w:p w:rsidR="003F5AA9" w:rsidRDefault="003F5AA9" w:rsidP="00E111A0">
      <w:pPr>
        <w:pStyle w:val="ListParagraph"/>
        <w:spacing w:before="100" w:beforeAutospacing="1" w:after="100" w:afterAutospacing="1" w:line="360" w:lineRule="auto"/>
        <w:ind w:left="567"/>
        <w:jc w:val="both"/>
        <w:rPr>
          <w:rFonts w:ascii="Arial" w:hAnsi="Arial" w:cs="Arial"/>
        </w:rPr>
      </w:pPr>
      <w:r>
        <w:rPr>
          <w:rFonts w:ascii="Arial" w:hAnsi="Arial" w:cs="Arial"/>
        </w:rPr>
        <w:t>All non-standard, obsolete and unserviceable ammunition is being sent on a continuous basis to the Ammunition Store at the Division Supply Chain Management for disposal and this is being monitored to ensure compliance.</w:t>
      </w:r>
    </w:p>
    <w:p w:rsidR="003F5AA9" w:rsidRDefault="003F5AA9" w:rsidP="00E111A0">
      <w:pPr>
        <w:rPr>
          <w:rFonts w:ascii="Arial" w:hAnsi="Arial" w:cs="Arial"/>
          <w:b/>
        </w:rPr>
      </w:pPr>
    </w:p>
    <w:p w:rsidR="003F5AA9" w:rsidRDefault="003F5AA9" w:rsidP="00E111A0">
      <w:pPr>
        <w:rPr>
          <w:rFonts w:ascii="Arial" w:hAnsi="Arial" w:cs="Arial"/>
          <w:b/>
        </w:rPr>
      </w:pPr>
    </w:p>
    <w:p w:rsidR="003F5AA9" w:rsidRDefault="003F5AA9" w:rsidP="00E111A0">
      <w:pPr>
        <w:rPr>
          <w:rFonts w:ascii="Arial" w:hAnsi="Arial" w:cs="Arial"/>
          <w:b/>
        </w:rPr>
      </w:pPr>
    </w:p>
    <w:p w:rsidR="003F5AA9" w:rsidRPr="001A0B10" w:rsidRDefault="003F5AA9">
      <w:pPr>
        <w:rPr>
          <w:rFonts w:ascii="Arial" w:hAnsi="Arial" w:cs="Arial"/>
        </w:rPr>
      </w:pPr>
      <w:bookmarkStart w:id="0" w:name="_GoBack"/>
      <w:bookmarkEnd w:id="0"/>
    </w:p>
    <w:sectPr w:rsidR="003F5AA9" w:rsidRPr="001A0B10" w:rsidSect="00E111A0">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AA9" w:rsidRDefault="003F5AA9" w:rsidP="00E111A0">
      <w:r>
        <w:separator/>
      </w:r>
    </w:p>
  </w:endnote>
  <w:endnote w:type="continuationSeparator" w:id="0">
    <w:p w:rsidR="003F5AA9" w:rsidRDefault="003F5AA9" w:rsidP="00E111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AA9" w:rsidRDefault="003F5AA9" w:rsidP="00E111A0">
      <w:r>
        <w:separator/>
      </w:r>
    </w:p>
  </w:footnote>
  <w:footnote w:type="continuationSeparator" w:id="0">
    <w:p w:rsidR="003F5AA9" w:rsidRDefault="003F5AA9" w:rsidP="00E111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AA9" w:rsidRDefault="003F5AA9">
    <w:pPr>
      <w:pStyle w:val="Header"/>
      <w:jc w:val="center"/>
    </w:pPr>
    <w:fldSimple w:instr=" PAGE   \* MERGEFORMAT ">
      <w:r>
        <w:rPr>
          <w:noProof/>
        </w:rPr>
        <w:t>2</w:t>
      </w:r>
    </w:fldSimple>
  </w:p>
  <w:p w:rsidR="003F5AA9" w:rsidRDefault="003F5A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0311F5"/>
    <w:multiLevelType w:val="hybridMultilevel"/>
    <w:tmpl w:val="E8F80A3C"/>
    <w:lvl w:ilvl="0" w:tplc="73CCE73E">
      <w:start w:val="1"/>
      <w:numFmt w:val="lowerLetter"/>
      <w:lvlText w:val="(%1)"/>
      <w:lvlJc w:val="left"/>
      <w:pPr>
        <w:ind w:left="720" w:hanging="360"/>
      </w:pPr>
      <w:rPr>
        <w:rFonts w:cs="Times New Roman" w:hint="default"/>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1">
    <w:nsid w:val="4CAA6ACE"/>
    <w:multiLevelType w:val="hybridMultilevel"/>
    <w:tmpl w:val="E1421C88"/>
    <w:lvl w:ilvl="0" w:tplc="A3B833C8">
      <w:start w:val="1"/>
      <w:numFmt w:val="lowerLetter"/>
      <w:lvlText w:val="%1)"/>
      <w:lvlJc w:val="left"/>
      <w:pPr>
        <w:ind w:left="502" w:hanging="360"/>
      </w:pPr>
      <w:rPr>
        <w:rFonts w:cs="Times New Roman" w:hint="default"/>
      </w:rPr>
    </w:lvl>
    <w:lvl w:ilvl="1" w:tplc="1C090019" w:tentative="1">
      <w:start w:val="1"/>
      <w:numFmt w:val="lowerLetter"/>
      <w:lvlText w:val="%2."/>
      <w:lvlJc w:val="left"/>
      <w:pPr>
        <w:ind w:left="1222" w:hanging="360"/>
      </w:pPr>
      <w:rPr>
        <w:rFonts w:cs="Times New Roman"/>
      </w:rPr>
    </w:lvl>
    <w:lvl w:ilvl="2" w:tplc="1C09001B" w:tentative="1">
      <w:start w:val="1"/>
      <w:numFmt w:val="lowerRoman"/>
      <w:lvlText w:val="%3."/>
      <w:lvlJc w:val="right"/>
      <w:pPr>
        <w:ind w:left="1942" w:hanging="180"/>
      </w:pPr>
      <w:rPr>
        <w:rFonts w:cs="Times New Roman"/>
      </w:rPr>
    </w:lvl>
    <w:lvl w:ilvl="3" w:tplc="1C09000F" w:tentative="1">
      <w:start w:val="1"/>
      <w:numFmt w:val="decimal"/>
      <w:lvlText w:val="%4."/>
      <w:lvlJc w:val="left"/>
      <w:pPr>
        <w:ind w:left="2662" w:hanging="360"/>
      </w:pPr>
      <w:rPr>
        <w:rFonts w:cs="Times New Roman"/>
      </w:rPr>
    </w:lvl>
    <w:lvl w:ilvl="4" w:tplc="1C090019" w:tentative="1">
      <w:start w:val="1"/>
      <w:numFmt w:val="lowerLetter"/>
      <w:lvlText w:val="%5."/>
      <w:lvlJc w:val="left"/>
      <w:pPr>
        <w:ind w:left="3382" w:hanging="360"/>
      </w:pPr>
      <w:rPr>
        <w:rFonts w:cs="Times New Roman"/>
      </w:rPr>
    </w:lvl>
    <w:lvl w:ilvl="5" w:tplc="1C09001B" w:tentative="1">
      <w:start w:val="1"/>
      <w:numFmt w:val="lowerRoman"/>
      <w:lvlText w:val="%6."/>
      <w:lvlJc w:val="right"/>
      <w:pPr>
        <w:ind w:left="4102" w:hanging="180"/>
      </w:pPr>
      <w:rPr>
        <w:rFonts w:cs="Times New Roman"/>
      </w:rPr>
    </w:lvl>
    <w:lvl w:ilvl="6" w:tplc="1C09000F" w:tentative="1">
      <w:start w:val="1"/>
      <w:numFmt w:val="decimal"/>
      <w:lvlText w:val="%7."/>
      <w:lvlJc w:val="left"/>
      <w:pPr>
        <w:ind w:left="4822" w:hanging="360"/>
      </w:pPr>
      <w:rPr>
        <w:rFonts w:cs="Times New Roman"/>
      </w:rPr>
    </w:lvl>
    <w:lvl w:ilvl="7" w:tplc="1C090019" w:tentative="1">
      <w:start w:val="1"/>
      <w:numFmt w:val="lowerLetter"/>
      <w:lvlText w:val="%8."/>
      <w:lvlJc w:val="left"/>
      <w:pPr>
        <w:ind w:left="5542" w:hanging="360"/>
      </w:pPr>
      <w:rPr>
        <w:rFonts w:cs="Times New Roman"/>
      </w:rPr>
    </w:lvl>
    <w:lvl w:ilvl="8" w:tplc="1C09001B" w:tentative="1">
      <w:start w:val="1"/>
      <w:numFmt w:val="lowerRoman"/>
      <w:lvlText w:val="%9."/>
      <w:lvlJc w:val="right"/>
      <w:pPr>
        <w:ind w:left="6262"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A0CF2"/>
    <w:rsid w:val="00010F3E"/>
    <w:rsid w:val="000154B8"/>
    <w:rsid w:val="00015AF5"/>
    <w:rsid w:val="00027D7F"/>
    <w:rsid w:val="000300E1"/>
    <w:rsid w:val="000360A9"/>
    <w:rsid w:val="00040CDB"/>
    <w:rsid w:val="000544A9"/>
    <w:rsid w:val="000704C8"/>
    <w:rsid w:val="00076404"/>
    <w:rsid w:val="000B358C"/>
    <w:rsid w:val="000B50A5"/>
    <w:rsid w:val="000E425E"/>
    <w:rsid w:val="000F1028"/>
    <w:rsid w:val="00111450"/>
    <w:rsid w:val="00116242"/>
    <w:rsid w:val="0012189F"/>
    <w:rsid w:val="001334C6"/>
    <w:rsid w:val="00134FAA"/>
    <w:rsid w:val="00137D69"/>
    <w:rsid w:val="0015137A"/>
    <w:rsid w:val="001A0B10"/>
    <w:rsid w:val="001B1959"/>
    <w:rsid w:val="00212E6C"/>
    <w:rsid w:val="00214AAD"/>
    <w:rsid w:val="00221612"/>
    <w:rsid w:val="00231D66"/>
    <w:rsid w:val="00251747"/>
    <w:rsid w:val="00256795"/>
    <w:rsid w:val="00264332"/>
    <w:rsid w:val="0027392F"/>
    <w:rsid w:val="0027627B"/>
    <w:rsid w:val="002905D2"/>
    <w:rsid w:val="002943CC"/>
    <w:rsid w:val="002A2082"/>
    <w:rsid w:val="002E5307"/>
    <w:rsid w:val="00301BF3"/>
    <w:rsid w:val="00303367"/>
    <w:rsid w:val="003062DC"/>
    <w:rsid w:val="00346168"/>
    <w:rsid w:val="0035131F"/>
    <w:rsid w:val="003579B5"/>
    <w:rsid w:val="00383B7B"/>
    <w:rsid w:val="00392CCD"/>
    <w:rsid w:val="00393BDA"/>
    <w:rsid w:val="003A0A31"/>
    <w:rsid w:val="003A12A9"/>
    <w:rsid w:val="003A2087"/>
    <w:rsid w:val="003A58B5"/>
    <w:rsid w:val="003D09E2"/>
    <w:rsid w:val="003D4489"/>
    <w:rsid w:val="003E3BF4"/>
    <w:rsid w:val="003F5054"/>
    <w:rsid w:val="003F5AA9"/>
    <w:rsid w:val="004103D7"/>
    <w:rsid w:val="0042286A"/>
    <w:rsid w:val="004268A7"/>
    <w:rsid w:val="00443DFD"/>
    <w:rsid w:val="004527C9"/>
    <w:rsid w:val="00473EF7"/>
    <w:rsid w:val="0047578D"/>
    <w:rsid w:val="00486CBF"/>
    <w:rsid w:val="00490903"/>
    <w:rsid w:val="004A4692"/>
    <w:rsid w:val="004D47E5"/>
    <w:rsid w:val="004D7BA1"/>
    <w:rsid w:val="00504592"/>
    <w:rsid w:val="00517AEA"/>
    <w:rsid w:val="00530C8E"/>
    <w:rsid w:val="00533E07"/>
    <w:rsid w:val="00544954"/>
    <w:rsid w:val="00545E52"/>
    <w:rsid w:val="00546009"/>
    <w:rsid w:val="005460C8"/>
    <w:rsid w:val="00546ED2"/>
    <w:rsid w:val="00550861"/>
    <w:rsid w:val="005577AF"/>
    <w:rsid w:val="005633D1"/>
    <w:rsid w:val="005869FF"/>
    <w:rsid w:val="0058773E"/>
    <w:rsid w:val="00593D51"/>
    <w:rsid w:val="00595E6E"/>
    <w:rsid w:val="005979A9"/>
    <w:rsid w:val="005A021D"/>
    <w:rsid w:val="005A44CA"/>
    <w:rsid w:val="005A7FCF"/>
    <w:rsid w:val="005B65CD"/>
    <w:rsid w:val="005C720C"/>
    <w:rsid w:val="005D78D5"/>
    <w:rsid w:val="005F1C20"/>
    <w:rsid w:val="00611A83"/>
    <w:rsid w:val="00617810"/>
    <w:rsid w:val="00640E4F"/>
    <w:rsid w:val="00641DFD"/>
    <w:rsid w:val="00644E1F"/>
    <w:rsid w:val="00665BEB"/>
    <w:rsid w:val="006878B2"/>
    <w:rsid w:val="006905AE"/>
    <w:rsid w:val="006B749D"/>
    <w:rsid w:val="006C4304"/>
    <w:rsid w:val="006C6794"/>
    <w:rsid w:val="006D1F39"/>
    <w:rsid w:val="006F4B63"/>
    <w:rsid w:val="006F7395"/>
    <w:rsid w:val="00716188"/>
    <w:rsid w:val="00740C46"/>
    <w:rsid w:val="00750DA0"/>
    <w:rsid w:val="00754CEA"/>
    <w:rsid w:val="0075631F"/>
    <w:rsid w:val="007624D2"/>
    <w:rsid w:val="0076313A"/>
    <w:rsid w:val="007A51A9"/>
    <w:rsid w:val="007C17B9"/>
    <w:rsid w:val="00801D01"/>
    <w:rsid w:val="0080562A"/>
    <w:rsid w:val="00815189"/>
    <w:rsid w:val="00816DB3"/>
    <w:rsid w:val="00833FE3"/>
    <w:rsid w:val="008344A7"/>
    <w:rsid w:val="008346A6"/>
    <w:rsid w:val="008401B3"/>
    <w:rsid w:val="00842D83"/>
    <w:rsid w:val="00855E2F"/>
    <w:rsid w:val="00861667"/>
    <w:rsid w:val="00884DD8"/>
    <w:rsid w:val="008C38B2"/>
    <w:rsid w:val="008D64BE"/>
    <w:rsid w:val="008F5AEF"/>
    <w:rsid w:val="008F7797"/>
    <w:rsid w:val="00910A50"/>
    <w:rsid w:val="009145EE"/>
    <w:rsid w:val="00914A9D"/>
    <w:rsid w:val="0092068B"/>
    <w:rsid w:val="00941C2E"/>
    <w:rsid w:val="00946BAA"/>
    <w:rsid w:val="00950888"/>
    <w:rsid w:val="00954EF3"/>
    <w:rsid w:val="00970E63"/>
    <w:rsid w:val="0097535E"/>
    <w:rsid w:val="00983B78"/>
    <w:rsid w:val="00997608"/>
    <w:rsid w:val="009A119B"/>
    <w:rsid w:val="009A68BE"/>
    <w:rsid w:val="009A7956"/>
    <w:rsid w:val="009B7E86"/>
    <w:rsid w:val="009C2FBF"/>
    <w:rsid w:val="009D4AA7"/>
    <w:rsid w:val="009E2041"/>
    <w:rsid w:val="009E3616"/>
    <w:rsid w:val="009F1FE3"/>
    <w:rsid w:val="009F7026"/>
    <w:rsid w:val="00A36D8D"/>
    <w:rsid w:val="00A40847"/>
    <w:rsid w:val="00A4281D"/>
    <w:rsid w:val="00A434E3"/>
    <w:rsid w:val="00A449FF"/>
    <w:rsid w:val="00A779E8"/>
    <w:rsid w:val="00A810E3"/>
    <w:rsid w:val="00A817BA"/>
    <w:rsid w:val="00A92B18"/>
    <w:rsid w:val="00A950EE"/>
    <w:rsid w:val="00AA0CF2"/>
    <w:rsid w:val="00AC2BDE"/>
    <w:rsid w:val="00AD55C8"/>
    <w:rsid w:val="00AE5174"/>
    <w:rsid w:val="00AF140F"/>
    <w:rsid w:val="00AF2709"/>
    <w:rsid w:val="00B068EA"/>
    <w:rsid w:val="00B069CD"/>
    <w:rsid w:val="00B07572"/>
    <w:rsid w:val="00B34E51"/>
    <w:rsid w:val="00B472F6"/>
    <w:rsid w:val="00B50036"/>
    <w:rsid w:val="00B61D09"/>
    <w:rsid w:val="00B703E5"/>
    <w:rsid w:val="00B70DC5"/>
    <w:rsid w:val="00B81F46"/>
    <w:rsid w:val="00B92117"/>
    <w:rsid w:val="00BA20E0"/>
    <w:rsid w:val="00BA75F0"/>
    <w:rsid w:val="00BC1EB2"/>
    <w:rsid w:val="00BC5ABC"/>
    <w:rsid w:val="00BD4A1A"/>
    <w:rsid w:val="00BF17CF"/>
    <w:rsid w:val="00C122B5"/>
    <w:rsid w:val="00C3502B"/>
    <w:rsid w:val="00C352E9"/>
    <w:rsid w:val="00C55815"/>
    <w:rsid w:val="00C706B9"/>
    <w:rsid w:val="00C7284D"/>
    <w:rsid w:val="00C8422D"/>
    <w:rsid w:val="00C935CA"/>
    <w:rsid w:val="00C969D3"/>
    <w:rsid w:val="00CB1E2C"/>
    <w:rsid w:val="00CB3936"/>
    <w:rsid w:val="00CC244C"/>
    <w:rsid w:val="00CD359B"/>
    <w:rsid w:val="00CE1C68"/>
    <w:rsid w:val="00D25195"/>
    <w:rsid w:val="00D63C16"/>
    <w:rsid w:val="00D663CB"/>
    <w:rsid w:val="00D745FF"/>
    <w:rsid w:val="00D84240"/>
    <w:rsid w:val="00DB3DCC"/>
    <w:rsid w:val="00DC49F6"/>
    <w:rsid w:val="00DE7B18"/>
    <w:rsid w:val="00E06B14"/>
    <w:rsid w:val="00E111A0"/>
    <w:rsid w:val="00E17F23"/>
    <w:rsid w:val="00E21361"/>
    <w:rsid w:val="00E35D2F"/>
    <w:rsid w:val="00E3685E"/>
    <w:rsid w:val="00E4034D"/>
    <w:rsid w:val="00E54A8C"/>
    <w:rsid w:val="00E86C6B"/>
    <w:rsid w:val="00EB38F5"/>
    <w:rsid w:val="00EC0508"/>
    <w:rsid w:val="00EC70F7"/>
    <w:rsid w:val="00EC7123"/>
    <w:rsid w:val="00ED3A03"/>
    <w:rsid w:val="00F03042"/>
    <w:rsid w:val="00F07C42"/>
    <w:rsid w:val="00F33AAA"/>
    <w:rsid w:val="00F34D9C"/>
    <w:rsid w:val="00F42BC0"/>
    <w:rsid w:val="00F43BC7"/>
    <w:rsid w:val="00F44859"/>
    <w:rsid w:val="00F57AC2"/>
    <w:rsid w:val="00F72092"/>
    <w:rsid w:val="00F802F7"/>
    <w:rsid w:val="00FB2D2C"/>
    <w:rsid w:val="00FC6158"/>
    <w:rsid w:val="00FC675F"/>
    <w:rsid w:val="00FD0B57"/>
    <w:rsid w:val="00FD23DE"/>
    <w:rsid w:val="00FE26DE"/>
    <w:rsid w:val="00FF30ED"/>
    <w:rsid w:val="00FF7B3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CF2"/>
    <w:rPr>
      <w:rFonts w:ascii="Times New Roman" w:eastAsia="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A36D8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36D8D"/>
    <w:rPr>
      <w:rFonts w:ascii="Tahoma" w:hAnsi="Tahoma" w:cs="Tahoma"/>
      <w:sz w:val="16"/>
      <w:szCs w:val="16"/>
      <w:lang w:val="en-US"/>
    </w:rPr>
  </w:style>
  <w:style w:type="paragraph" w:styleId="ListParagraph">
    <w:name w:val="List Paragraph"/>
    <w:basedOn w:val="Normal"/>
    <w:uiPriority w:val="99"/>
    <w:qFormat/>
    <w:rsid w:val="00E111A0"/>
    <w:pPr>
      <w:ind w:left="720"/>
      <w:contextualSpacing/>
    </w:pPr>
  </w:style>
  <w:style w:type="table" w:styleId="TableGrid">
    <w:name w:val="Table Grid"/>
    <w:basedOn w:val="TableNormal"/>
    <w:uiPriority w:val="99"/>
    <w:rsid w:val="00E111A0"/>
    <w:rPr>
      <w:rFonts w:ascii="Arial" w:hAnsi="Arial"/>
      <w:sz w:val="24"/>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111A0"/>
    <w:pPr>
      <w:tabs>
        <w:tab w:val="center" w:pos="4513"/>
        <w:tab w:val="right" w:pos="9026"/>
      </w:tabs>
    </w:pPr>
  </w:style>
  <w:style w:type="character" w:customStyle="1" w:styleId="HeaderChar">
    <w:name w:val="Header Char"/>
    <w:basedOn w:val="DefaultParagraphFont"/>
    <w:link w:val="Header"/>
    <w:uiPriority w:val="99"/>
    <w:locked/>
    <w:rsid w:val="00E111A0"/>
    <w:rPr>
      <w:rFonts w:ascii="Times New Roman" w:hAnsi="Times New Roman" w:cs="Times New Roman"/>
      <w:sz w:val="24"/>
      <w:szCs w:val="24"/>
      <w:lang w:val="en-US"/>
    </w:rPr>
  </w:style>
  <w:style w:type="paragraph" w:styleId="Footer">
    <w:name w:val="footer"/>
    <w:basedOn w:val="Normal"/>
    <w:link w:val="FooterChar"/>
    <w:uiPriority w:val="99"/>
    <w:rsid w:val="00E111A0"/>
    <w:pPr>
      <w:tabs>
        <w:tab w:val="center" w:pos="4513"/>
        <w:tab w:val="right" w:pos="9026"/>
      </w:tabs>
    </w:pPr>
  </w:style>
  <w:style w:type="character" w:customStyle="1" w:styleId="FooterChar">
    <w:name w:val="Footer Char"/>
    <w:basedOn w:val="DefaultParagraphFont"/>
    <w:link w:val="Footer"/>
    <w:uiPriority w:val="99"/>
    <w:locked/>
    <w:rsid w:val="00E111A0"/>
    <w:rPr>
      <w:rFonts w:ascii="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060707696">
      <w:marLeft w:val="0"/>
      <w:marRight w:val="0"/>
      <w:marTop w:val="0"/>
      <w:marBottom w:val="0"/>
      <w:divBdr>
        <w:top w:val="none" w:sz="0" w:space="0" w:color="auto"/>
        <w:left w:val="none" w:sz="0" w:space="0" w:color="auto"/>
        <w:bottom w:val="none" w:sz="0" w:space="0" w:color="auto"/>
        <w:right w:val="none" w:sz="0" w:space="0" w:color="auto"/>
      </w:divBdr>
    </w:div>
    <w:div w:id="10607076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281</Words>
  <Characters>1608</Characters>
  <Application>Microsoft Office Outlook</Application>
  <DocSecurity>0</DocSecurity>
  <Lines>0</Lines>
  <Paragraphs>0</Paragraphs>
  <ScaleCrop>false</ScaleCrop>
  <Company>SAPS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36/1/4/1/201500010</dc:title>
  <dc:subject/>
  <dc:creator>jeverson</dc:creator>
  <cp:keywords/>
  <dc:description/>
  <cp:lastModifiedBy>schuene</cp:lastModifiedBy>
  <cp:revision>2</cp:revision>
  <cp:lastPrinted>2015-02-13T08:57:00Z</cp:lastPrinted>
  <dcterms:created xsi:type="dcterms:W3CDTF">2015-03-02T09:50:00Z</dcterms:created>
  <dcterms:modified xsi:type="dcterms:W3CDTF">2015-03-02T09:50:00Z</dcterms:modified>
</cp:coreProperties>
</file>