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shd w:val="clear" w:color="auto" w:fill="0a0a0a"/>
        <w:pBdr>
          <w:bottom w:val="single" w:sz="8" w:space="2" w:color="E0E0E0"/>
        </w:pBdr>
      </w:pPr>
      <w:r>
        <w:rPr>
          <w:rFonts w:ascii="Arial" w:hAnsi="Arial" w:eastAsia="Arial" w:cs="Arial"/>
          <w:color w:val="D0B070"/>
        </w:rPr>
        <w:t>Aktualisierte Code4Never BMAD-Framework und Leitlinien</w:t>
      </w:r>
    </w:p>
    <w:p>
      <w:pPr>
        <w:pStyle w:val="Heading1"/>
        <w:jc w:val="left"/>
        <w:shd w:val="clear" w:color="auto" w:fill="0a0a0a"/>
        <w:pBdr>
          <w:bottom w:val="single" w:sz="8" w:space="2" w:color="E0E0E0"/>
        </w:pBdr>
      </w:pPr>
      <w:r>
        <w:rPr>
          <w:rFonts w:ascii="Arial" w:hAnsi="Arial" w:eastAsia="Arial" w:cs="Arial"/>
          <w:color w:val="D0B070"/>
        </w:rPr>
        <w:t>3.0 Governance &amp; Visuelle Identität</w:t>
      </w:r>
    </w:p>
    <w:p>
      <w:pPr>
        <w:shd w:val="clear" w:color="auto" w:fill="0a0a0a"/>
      </w:pPr>
      <w:r>
        <w:rPr>
          <w:rFonts w:ascii="Arial" w:hAnsi="Arial" w:eastAsia="Arial" w:cs="Arial"/>
          <w:color w:val="BDBDBD"/>
        </w:rPr>
        <w:t>Die visuelle Identität von Code4Never ist ein direktes Abbild unserer Kernprinzipien: Autorität, technische Exzellenz und Schutz. Jedes Design-Element, von der Typografie bis zur Farbgebung, muss diese Werte widerspiegeln und der übergeordneten "Artifact-First Doktrin" sowie der "4 Regel" folgen. Die folgenden Leitlinien definieren die verbindlichen Standards für die Gestaltung aller digitalen Assets und Benutzeroberflächen.</w:t>
      </w:r>
    </w:p>
    <w:p>
      <w:pPr>
        <w:pStyle w:val="Heading2"/>
        <w:shd w:val="clear" w:color="auto" w:fill="0a0a0a"/>
        <w:pBdr>
          <w:bottom w:val="single" w:sz="8" w:space="2" w:color="E0E0E0"/>
        </w:pBdr>
      </w:pPr>
      <w:r>
        <w:rPr>
          <w:rFonts w:ascii="Arial" w:hAnsi="Arial" w:eastAsia="Arial" w:cs="Arial"/>
          <w:color w:val="D0B070"/>
        </w:rPr>
        <w:t>3.1 Farbpalette (Aktualisierte Fassung)</w:t>
      </w:r>
    </w:p>
    <w:p>
      <w:pPr>
        <w:shd w:val="clear" w:color="auto" w:fill="0a0a0a"/>
      </w:pPr>
      <w:r>
        <w:rPr>
          <w:rFonts w:ascii="Arial" w:hAnsi="Arial" w:eastAsia="Arial" w:cs="Arial"/>
          <w:color w:val="BDBDBD"/>
        </w:rPr>
        <w:t>Die Farbpalette ist fundamental für die Markenwahrnehmung und die User Experience. Sie basiert auf dem "Dark Mode First"-Prinzip, um eine immersive, fokussierte und ermüdungsfreie Arbeitsumgebung zu schaffen. Die Palette gliedert sich in Primärfarben, die das Fundament der Marke bilden, und erweiterte Akzentfarben für spezifische, funktionsorientierte UI-Anwendungen.</w:t>
      </w:r>
    </w:p>
    <w:p>
      <w:pPr>
        <w:pStyle w:val="Heading3"/>
        <w:shd w:val="clear" w:color="auto" w:fill="0a0a0a"/>
      </w:pPr>
      <w:r>
        <w:rPr>
          <w:rFonts w:ascii="Arial" w:hAnsi="Arial" w:eastAsia="Arial" w:cs="Arial"/>
          <w:color w:val="C0A060"/>
        </w:rPr>
        <w:t>3.1.1 Primärfarben</w:t>
      </w:r>
    </w:p>
    <w:p>
      <w:pPr>
        <w:shd w:val="clear" w:color="auto" w:fill="0a0a0a"/>
      </w:pPr>
      <w:r>
        <w:rPr>
          <w:rFonts w:ascii="Arial" w:hAnsi="Arial" w:eastAsia="Arial" w:cs="Arial"/>
          <w:color w:val="BDBDBD"/>
        </w:rPr>
        <w:t>Diese drei Farben bilden das unerschütterliche Fundament der visuellen Identität von Code4Never. Ihre Anwendung ist klar definiert und priorisiert.</w:t>
      </w:r>
    </w:p>
    <w:p>
      <w:pPr>
        <w:pStyle w:val="ListBullet"/>
        <w:shd w:val="clear" w:color="auto" w:fill="0a0a0a"/>
        <w:spacing w:line="240" w:lineRule="auto" w:after="20" w:before="0"/>
      </w:pPr>
      <w:r>
        <w:rPr>
          <w:rFonts w:ascii="Arial" w:hAnsi="Arial" w:eastAsia="Arial" w:cs="Arial"/>
          <w:color w:val="E0E0E0"/>
          <w:sz w:val="24"/>
        </w:rPr>
        <w:t>Void Black</w:t>
      </w:r>
      <w:r>
        <w:t xml:space="preserve"> </w:t>
      </w:r>
      <w:r>
        <w:rPr>
          <w:rFonts w:ascii="Arial" w:hAnsi="Arial" w:eastAsia="Arial" w:cs="Arial"/>
          <w:b/>
          <w:color w:val="9E9E9E"/>
          <w:sz w:val="24"/>
        </w:rPr>
        <w:t>Hex-Werte:</w:t>
      </w:r>
      <w:r>
        <w:t xml:space="preserve"> </w:t>
      </w:r>
      <w:r>
        <w:t xml:space="preserve"> </w:t>
      </w:r>
      <w:r>
        <w:rPr>
          <w:rFonts w:ascii="Microsoft YaHei" w:hAnsi="Microsoft YaHei" w:eastAsia="Microsoft YaHei" w:cs="Microsoft YaHei"/>
          <w:color w:val="40E0D0"/>
          <w:sz w:val="24"/>
        </w:rPr>
        <w:t>#000000 – #0A0A0A</w:t>
      </w:r>
      <w:r>
        <w:t xml:space="preserve"> </w:t>
      </w:r>
      <w:r>
        <w:rPr>
          <w:rFonts w:ascii="Arial" w:hAnsi="Arial" w:eastAsia="Arial" w:cs="Arial"/>
          <w:b/>
          <w:color w:val="9E9E9E"/>
          <w:sz w:val="24"/>
        </w:rPr>
        <w:t>Anwendung:</w:t>
      </w:r>
      <w:r>
        <w:t xml:space="preserve"> </w:t>
      </w:r>
      <w:r>
        <w:rPr>
          <w:rFonts w:ascii="Arial" w:hAnsi="Arial" w:eastAsia="Arial" w:cs="Arial"/>
          <w:color w:val="9E9E9E"/>
          <w:sz w:val="24"/>
        </w:rPr>
        <w:t xml:space="preserve"> Dient als Standardfarbe für alle Hintergründe und bildet die Basis des "Dark Mode First"-Ansatzes. Schafft eine immersive und fokussierte Benutzererfahrung, die Ablenkungen minimiert und Inhalte in den Vordergrund rückt.</w:t>
      </w:r>
      <w:r>
        <w:t xml:space="preserve"> </w:t>
      </w:r>
      <w:r>
        <w:t xml:space="preserve"> </w:t>
      </w:r>
    </w:p>
    <w:p>
      <w:pPr>
        <w:pStyle w:val="ListBullet"/>
        <w:shd w:val="clear" w:color="auto" w:fill="0a0a0a"/>
        <w:spacing w:line="240" w:lineRule="auto" w:after="20" w:before="0"/>
      </w:pPr>
      <w:r>
        <w:rPr>
          <w:rFonts w:ascii="Arial" w:hAnsi="Arial" w:eastAsia="Arial" w:cs="Arial"/>
          <w:color w:val="E0E0E0"/>
          <w:sz w:val="24"/>
        </w:rPr>
        <w:t>Imperial Gold</w:t>
      </w:r>
      <w:r>
        <w:t xml:space="preserve"> </w:t>
      </w:r>
      <w:r>
        <w:rPr>
          <w:rFonts w:ascii="Arial" w:hAnsi="Arial" w:eastAsia="Arial" w:cs="Arial"/>
          <w:b/>
          <w:color w:val="9E9E9E"/>
          <w:sz w:val="24"/>
        </w:rPr>
        <w:t>Hex-Werte:</w:t>
      </w:r>
      <w:r>
        <w:t xml:space="preserve"> </w:t>
      </w:r>
      <w:r>
        <w:t xml:space="preserve"> </w:t>
      </w:r>
      <w:r>
        <w:rPr>
          <w:rFonts w:ascii="Arial" w:hAnsi="Arial" w:eastAsia="Arial" w:cs="Arial"/>
          <w:color w:val="40E0D0"/>
          <w:sz w:val="24"/>
        </w:rPr>
        <w:t>#C0A060 – #D0B070</w:t>
      </w:r>
      <w:r>
        <w:t xml:space="preserve"> </w:t>
      </w:r>
      <w:r>
        <w:rPr>
          <w:rFonts w:ascii="Arial" w:hAnsi="Arial" w:eastAsia="Arial" w:cs="Arial"/>
          <w:b/>
          <w:color w:val="9E9E9E"/>
          <w:sz w:val="24"/>
        </w:rPr>
        <w:t>Anwendung:</w:t>
      </w:r>
      <w:r>
        <w:t xml:space="preserve"> </w:t>
      </w:r>
      <w:r>
        <w:rPr>
          <w:rFonts w:ascii="Arial" w:hAnsi="Arial" w:eastAsia="Arial" w:cs="Arial"/>
          <w:color w:val="9E9E9E"/>
          <w:sz w:val="24"/>
        </w:rPr>
        <w:t xml:space="preserve"> Wird für primäre Akzente, Call-to-Action-Elemente, wichtige Texte, Icons und "Crowns" (hervorgehobene Statuselemente) verwendet. Symbolisiert Wertigkeit, Autorität und Exzellenz.</w:t>
      </w:r>
      <w:r>
        <w:t xml:space="preserve"> </w:t>
      </w:r>
      <w:r>
        <w:t xml:space="preserve"> </w:t>
      </w:r>
    </w:p>
    <w:p>
      <w:pPr>
        <w:pStyle w:val="ListBullet"/>
        <w:shd w:val="clear" w:color="auto" w:fill="0a0a0a"/>
        <w:spacing w:line="240" w:lineRule="auto" w:after="20" w:before="0"/>
      </w:pPr>
      <w:r>
        <w:rPr>
          <w:rFonts w:ascii="Arial" w:hAnsi="Arial" w:eastAsia="Arial" w:cs="Arial"/>
          <w:color w:val="E0E0E0"/>
          <w:sz w:val="24"/>
        </w:rPr>
        <w:t>Royal Purple</w:t>
      </w:r>
      <w:r>
        <w:t xml:space="preserve"> </w:t>
      </w:r>
      <w:r>
        <w:rPr>
          <w:rFonts w:ascii="Arial" w:hAnsi="Arial" w:eastAsia="Arial" w:cs="Arial"/>
          <w:b/>
          <w:color w:val="9E9E9E"/>
          <w:sz w:val="24"/>
        </w:rPr>
        <w:t>Hex-Werte:</w:t>
      </w:r>
      <w:r>
        <w:t xml:space="preserve"> </w:t>
      </w:r>
      <w:r>
        <w:t xml:space="preserve"> </w:t>
      </w:r>
      <w:r>
        <w:rPr>
          <w:rFonts w:ascii="Microsoft YaHei" w:hAnsi="Microsoft YaHei" w:eastAsia="Microsoft YaHei" w:cs="Microsoft YaHei"/>
          <w:color w:val="40E0D0"/>
          <w:sz w:val="24"/>
        </w:rPr>
        <w:t>#502080 – #6B3FA0</w:t>
      </w:r>
      <w:r>
        <w:t xml:space="preserve"> </w:t>
      </w:r>
      <w:r>
        <w:rPr>
          <w:rFonts w:ascii="Arial" w:hAnsi="Arial" w:eastAsia="Arial" w:cs="Arial"/>
          <w:b/>
          <w:color w:val="9E9E9E"/>
          <w:sz w:val="24"/>
        </w:rPr>
        <w:t>Anwendung:</w:t>
      </w:r>
      <w:r>
        <w:t xml:space="preserve"> </w:t>
      </w:r>
      <w:r>
        <w:rPr>
          <w:rFonts w:ascii="Arial" w:hAnsi="Arial" w:eastAsia="Arial" w:cs="Arial"/>
          <w:color w:val="9E9E9E"/>
          <w:sz w:val="24"/>
        </w:rPr>
        <w:t xml:space="preserve"> Dient der Darstellung der übergeordneten Brand Identity. Der Einsatz ist gezielt und auf strategische Branding-Elemente beschränkt, die die Marke Code4Never repräsentieren, z.B. in Logos oder Ladebildschirmen.</w:t>
      </w:r>
      <w:r>
        <w:t xml:space="preserve"> </w:t>
      </w:r>
      <w:r>
        <w:t xml:space="preserve"> </w:t>
      </w:r>
    </w:p>
    <w:p>
      <w:pPr>
        <w:pStyle w:val="Heading3"/>
        <w:shd w:val="clear" w:color="auto" w:fill="0a0a0a"/>
      </w:pPr>
      <w:r>
        <w:rPr>
          <w:rFonts w:ascii="Arial" w:hAnsi="Arial" w:eastAsia="Arial" w:cs="Arial"/>
          <w:color w:val="C0A060"/>
        </w:rPr>
        <w:t>3.1.2 Erweiterte Akzentfarben</w:t>
      </w:r>
    </w:p>
    <w:p>
      <w:pPr>
        <w:shd w:val="clear" w:color="auto" w:fill="0a0a0a"/>
      </w:pPr>
      <w:r>
        <w:rPr>
          <w:rFonts w:ascii="Arial" w:hAnsi="Arial" w:eastAsia="Arial" w:cs="Arial"/>
          <w:color w:val="BDBDBD"/>
        </w:rPr>
        <w:t>Zur Ergänzung der Primärfarben wird eine Reihe von Akzentfarben definiert. Diese wurden aus den futuristischen und technologischen Visualisierungen unserer Marken-Assets abgeleitet. Sie sind für den Einsatz in datenintensiven Visualisierungen, zur Kennzeichnung von Systemzuständen und für die Darstellung kybernetischer Interface-Elemente vorgesehen. Ihre Anwendung muss strikt dem Prinzip des "Intentional Minimalism" folgen und stets funktional begründet sein.</w:t>
      </w:r>
    </w:p>
    <w:p>
      <w:pPr>
        <w:pStyle w:val="ListBullet"/>
        <w:shd w:val="clear" w:color="auto" w:fill="0a0a0a"/>
        <w:spacing w:line="240" w:lineRule="auto" w:after="20" w:before="0"/>
      </w:pPr>
      <w:r>
        <w:rPr>
          <w:rFonts w:ascii="Arial" w:hAnsi="Arial" w:eastAsia="Arial" w:cs="Arial"/>
          <w:color w:val="E0E0E0"/>
          <w:sz w:val="24"/>
        </w:rPr>
        <w:t>Holographic Cyan</w:t>
      </w:r>
      <w:r>
        <w:t xml:space="preserve"> </w:t>
      </w:r>
      <w:r>
        <w:rPr>
          <w:rFonts w:ascii="Arial" w:hAnsi="Arial" w:eastAsia="Arial" w:cs="Arial"/>
          <w:b/>
          <w:color w:val="9E9E9E"/>
          <w:sz w:val="24"/>
        </w:rPr>
        <w:t>Hex-Werte:</w:t>
      </w:r>
      <w:r>
        <w:t xml:space="preserve"> </w:t>
      </w:r>
      <w:r>
        <w:t xml:space="preserve"> </w:t>
      </w:r>
      <w:r>
        <w:rPr>
          <w:rFonts w:ascii="Arial" w:hAnsi="Arial" w:eastAsia="Arial" w:cs="Arial"/>
          <w:color w:val="40E0D0"/>
          <w:sz w:val="24"/>
        </w:rPr>
        <w:t>#00CFDE – #40E0D0</w:t>
      </w:r>
      <w:r>
        <w:t xml:space="preserve"> </w:t>
      </w:r>
      <w:r>
        <w:rPr>
          <w:rFonts w:ascii="Arial" w:hAnsi="Arial" w:eastAsia="Arial" w:cs="Arial"/>
          <w:b/>
          <w:color w:val="9E9E9E"/>
          <w:sz w:val="24"/>
        </w:rPr>
        <w:t>Anwendung:</w:t>
      </w:r>
      <w:r>
        <w:t xml:space="preserve"> </w:t>
      </w:r>
      <w:r>
        <w:rPr>
          <w:rFonts w:ascii="Arial" w:hAnsi="Arial" w:eastAsia="Arial" w:cs="Arial"/>
          <w:color w:val="9E9E9E"/>
          <w:sz w:val="24"/>
        </w:rPr>
        <w:t xml:space="preserve"> Inspiriert von holografischen Projektionen und Schaltkreis-Grafiken. Diese Farbe wird für aktive UI-Zustände (z.B. Hover, Active), Ladeindikatoren, Fortschrittsbalken und zur Visualisierung von Datenflüssen oder kybernetischen Strukturen verwendet.</w:t>
      </w:r>
      <w:r>
        <w:t xml:space="preserve"> </w:t>
      </w:r>
      <w:r>
        <w:t xml:space="preserve"> </w:t>
      </w:r>
    </w:p>
    <w:p>
      <w:pPr>
        <w:pStyle w:val="ListBullet"/>
        <w:shd w:val="clear" w:color="auto" w:fill="0a0a0a"/>
        <w:spacing w:line="240" w:lineRule="auto" w:after="20" w:before="0"/>
      </w:pPr>
      <w:r>
        <w:rPr>
          <w:rFonts w:ascii="Arial" w:hAnsi="Arial" w:eastAsia="Arial" w:cs="Arial"/>
          <w:color w:val="E0E0E0"/>
          <w:sz w:val="24"/>
        </w:rPr>
        <w:t>Cybernetic Blue</w:t>
      </w:r>
      <w:r>
        <w:t xml:space="preserve"> </w:t>
      </w:r>
      <w:r>
        <w:rPr>
          <w:rFonts w:ascii="Arial" w:hAnsi="Arial" w:eastAsia="Arial" w:cs="Arial"/>
          <w:b/>
          <w:color w:val="9E9E9E"/>
          <w:sz w:val="24"/>
        </w:rPr>
        <w:t>Hex-Werte:</w:t>
      </w:r>
      <w:r>
        <w:t xml:space="preserve"> </w:t>
      </w:r>
      <w:r>
        <w:t xml:space="preserve"> </w:t>
      </w:r>
      <w:r>
        <w:rPr>
          <w:rFonts w:ascii="Arial" w:hAnsi="Arial" w:eastAsia="Arial" w:cs="Arial"/>
          <w:color w:val="40E0D0"/>
          <w:sz w:val="24"/>
        </w:rPr>
        <w:t>#0A4DAA – #0D6EFD</w:t>
      </w:r>
      <w:r>
        <w:t xml:space="preserve"> </w:t>
      </w:r>
      <w:r>
        <w:rPr>
          <w:rFonts w:ascii="Arial" w:hAnsi="Arial" w:eastAsia="Arial" w:cs="Arial"/>
          <w:b/>
          <w:color w:val="9E9E9E"/>
          <w:sz w:val="24"/>
        </w:rPr>
        <w:t>Anwendung:</w:t>
      </w:r>
      <w:r>
        <w:t xml:space="preserve"> </w:t>
      </w:r>
      <w:r>
        <w:rPr>
          <w:rFonts w:ascii="Arial" w:hAnsi="Arial" w:eastAsia="Arial" w:cs="Arial"/>
          <w:color w:val="9E9E9E"/>
          <w:sz w:val="24"/>
        </w:rPr>
        <w:t xml:space="preserve"> Ein tieferer Blauton, der zur Erzeugung von visueller Tiefe und zur Differenzierung von Informationsebenen in komplexen Dashboards dient. Ideal für sekundäre UI-Elemente, Graphen, Diagramme und als subtile Hintergrundbeleuchtung für fokussierte Bereiche.</w:t>
      </w:r>
      <w:r>
        <w:t xml:space="preserve"> </w:t>
      </w:r>
      <w:r>
        <w:t xml:space="preserve"> </w:t>
      </w:r>
    </w:p>
    <w:p>
      <w:pPr>
        <w:pStyle w:val="Heading3"/>
        <w:shd w:val="clear" w:color="auto" w:fill="0a0a0a"/>
      </w:pPr>
      <w:r>
        <w:rPr>
          <w:rFonts w:ascii="Arial" w:hAnsi="Arial" w:eastAsia="Arial" w:cs="Arial"/>
          <w:color w:val="C0A060"/>
        </w:rPr>
        <w:t>3.1.3 Anwendungsrichtlinien</w:t>
      </w:r>
    </w:p>
    <w:p>
      <w:pPr>
        <w:shd w:val="clear" w:color="auto" w:fill="0a0a0a"/>
      </w:pPr>
      <w:r>
        <w:rPr>
          <w:rFonts w:ascii="Arial" w:hAnsi="Arial" w:eastAsia="Arial" w:cs="Arial"/>
          <w:color w:val="BDBDBD"/>
        </w:rPr>
        <w:t>Die korrekte Anwendung der Farbpalette ist entscheidend für die Wahrung der Markenintegrität und der Design-Philosophie.</w:t>
      </w:r>
    </w:p>
    <w:p>
      <w:pPr>
        <w:pStyle w:val="ListBullet"/>
        <w:shd w:val="clear" w:color="auto" w:fill="0a0a0a"/>
        <w:spacing w:line="240" w:lineRule="auto" w:after="20" w:before="0"/>
      </w:pPr>
      <w:r>
        <w:rPr>
          <w:rFonts w:ascii="Arial" w:hAnsi="Arial" w:eastAsia="Arial" w:cs="Arial"/>
          <w:b/>
          <w:color w:val="BDBDBD"/>
          <w:sz w:val="24"/>
        </w:rPr>
        <w:t>Hierarchie:</w:t>
      </w:r>
      <w:r>
        <w:t xml:space="preserve"> </w:t>
      </w:r>
      <w:r>
        <w:rPr>
          <w:rFonts w:ascii="Arial" w:hAnsi="Arial" w:eastAsia="Arial" w:cs="Arial"/>
          <w:color w:val="E0E0E0"/>
          <w:sz w:val="24"/>
        </w:rPr>
        <w:t xml:space="preserve"> Die Primärfarben bilden das Fundament jedes Designs. Akzentfarben dürfen niemals die primären Markenfarben (insbesondere Imperial Gold) in ihrer visuellen Dominanz herausfordern.</w:t>
      </w:r>
    </w:p>
    <w:p>
      <w:pPr>
        <w:pStyle w:val="ListBullet"/>
        <w:shd w:val="clear" w:color="auto" w:fill="0a0a0a"/>
        <w:spacing w:line="240" w:lineRule="auto" w:after="20" w:before="0"/>
      </w:pPr>
      <w:r>
        <w:rPr>
          <w:rFonts w:ascii="Arial" w:hAnsi="Arial" w:eastAsia="Arial" w:cs="Arial"/>
          <w:b/>
          <w:color w:val="BDBDBD"/>
          <w:sz w:val="24"/>
        </w:rPr>
        <w:t>Funktionalität:</w:t>
      </w:r>
      <w:r>
        <w:t xml:space="preserve"> </w:t>
      </w:r>
      <w:r>
        <w:rPr>
          <w:rFonts w:ascii="Arial" w:hAnsi="Arial" w:eastAsia="Arial" w:cs="Arial"/>
          <w:color w:val="E0E0E0"/>
          <w:sz w:val="24"/>
        </w:rPr>
        <w:t xml:space="preserve"> Der Einsatz von Akzentfarben muss funktional begründet sein. Er soll die Klarheit der Benutzeroberfläche verbessern, nicht sie überladen. Jede Farbe muss eine klare semantische Bedeutung haben (z.B. Status, Interaktivität, Datenkategorie).</w:t>
      </w:r>
    </w:p>
    <w:p>
      <w:pPr>
        <w:pStyle w:val="ListBullet"/>
        <w:shd w:val="clear" w:color="auto" w:fill="0a0a0a"/>
        <w:spacing w:line="240" w:lineRule="auto" w:after="20" w:before="0"/>
      </w:pPr>
      <w:r>
        <w:rPr>
          <w:rFonts w:ascii="Arial" w:hAnsi="Arial" w:eastAsia="Arial" w:cs="Arial"/>
          <w:b/>
          <w:color w:val="BDBDBD"/>
          <w:sz w:val="24"/>
        </w:rPr>
        <w:t>Minimalismus:</w:t>
      </w:r>
      <w:r>
        <w:t xml:space="preserve"> </w:t>
      </w:r>
      <w:r>
        <w:rPr>
          <w:rFonts w:ascii="Arial" w:hAnsi="Arial" w:eastAsia="Arial" w:cs="Arial"/>
          <w:color w:val="E0E0E0"/>
          <w:sz w:val="24"/>
        </w:rPr>
        <w:t xml:space="preserve"> Gemäß dem Prinzip des ";Intentional Minimalism" ist von einem übermäßigen oder rein dekorativen Einsatz der Akzentfarben abzusehen. Weniger ist mehr.</w:t>
      </w:r>
    </w:p>
    <w:p>
      <w:pPr>
        <w:pStyle w:val="ListBullet"/>
        <w:shd w:val="clear" w:color="auto" w:fill="0a0a0a"/>
        <w:spacing w:line="240" w:lineRule="auto" w:after="20" w:before="0"/>
      </w:pPr>
      <w:r>
        <w:rPr>
          <w:rFonts w:ascii="Arial" w:hAnsi="Arial" w:eastAsia="Arial" w:cs="Arial"/>
          <w:b/>
          <w:color w:val="BDBDBD"/>
          <w:sz w:val="24"/>
        </w:rPr>
        <w:t>Konsistenz:</w:t>
      </w:r>
      <w:r>
        <w:t xml:space="preserve"> </w:t>
      </w:r>
      <w:r>
        <w:rPr>
          <w:rFonts w:ascii="Arial" w:hAnsi="Arial" w:eastAsia="Arial" w:cs="Arial"/>
          <w:color w:val="E0E0E0"/>
          <w:sz w:val="24"/>
        </w:rPr>
        <w:t xml:space="preserve"> Jede Farbverwendung muss gegen die Prinzipien der "Anti-generischen UI" und der technischen Exzellenz geprüft werden, um eine konsistente und maßgeschneiderte User Experience sicherzustellen.</w:t>
      </w:r>
    </w:p>
    <w:p>
      <w:pPr>
        <w:pStyle w:val="Heading2"/>
        <w:shd w:val="clear" w:color="auto" w:fill="0a0a0a"/>
        <w:pBdr>
          <w:bottom w:val="single" w:sz="8" w:space="2" w:color="E0E0E0"/>
        </w:pBdr>
      </w:pPr>
      <w:r>
        <w:rPr>
          <w:rFonts w:ascii="Arial" w:hAnsi="Arial" w:eastAsia="Arial" w:cs="Arial"/>
          <w:color w:val="D0B070"/>
        </w:rPr>
        <w:t>3.2 Technische Asset-Spezifikationen &amp; Icon-Erstellung</w:t>
      </w:r>
    </w:p>
    <w:p>
      <w:pPr>
        <w:shd w:val="clear" w:color="auto" w:fill="0a0a0a"/>
      </w:pPr>
      <w:r>
        <w:rPr>
          <w:rFonts w:ascii="Arial" w:hAnsi="Arial" w:eastAsia="Arial" w:cs="Arial"/>
          <w:color w:val="BDBDBD"/>
        </w:rPr>
        <w:t>Als Teil der übergreifenden Governance stellen diese technischen Spezifikationen sicher, dass alle visuellen Assets die Kernidentität von Code4Never wahren und nahtlos in unsere "Dark Mode First"-Umgebung integriert werden. Die Einhaltung ist für die visuelle Integrität und Konsistenz zwingend erforderlich.</w:t>
      </w:r>
    </w:p>
    <w:p>
      <w:pPr>
        <w:pStyle w:val="ListBullet"/>
        <w:shd w:val="clear" w:color="auto" w:fill="0a0a0a"/>
        <w:spacing w:line="240" w:lineRule="auto" w:after="20" w:before="0"/>
      </w:pPr>
      <w:r>
        <w:rPr>
          <w:rFonts w:ascii="Arial" w:hAnsi="Arial" w:eastAsia="Arial" w:cs="Arial"/>
          <w:b/>
          <w:color w:val="BDBDBD"/>
          <w:sz w:val="24"/>
        </w:rPr>
        <w:t>Format und Motiv-Präsenz:</w:t>
      </w:r>
      <w:r>
        <w:t xml:space="preserve"> </w:t>
      </w:r>
      <w:r>
        <w:rPr>
          <w:rFonts w:ascii="Arial" w:hAnsi="Arial" w:eastAsia="Arial" w:cs="Arial"/>
          <w:color w:val="E0E0E0"/>
          <w:sz w:val="24"/>
        </w:rPr>
        <w:t xml:space="preserve"> Alle Bilddateien, insbesondere Icons und Logos, müssen zwingend als transparente </w:t>
      </w:r>
      <w:r>
        <w:rPr>
          <w:rFonts w:ascii="Arial" w:hAnsi="Arial" w:eastAsia="Arial" w:cs="Arial"/>
          <w:color w:val="40E0D0"/>
          <w:sz w:val="24"/>
        </w:rPr>
        <w:t>PNGs</w:t>
      </w:r>
      <w:r>
        <w:rPr>
          <w:rFonts w:ascii="Arial" w:hAnsi="Arial" w:eastAsia="Arial" w:cs="Arial"/>
          <w:color w:val="E0E0E0"/>
          <w:sz w:val="24"/>
        </w:rPr>
        <w:t xml:space="preserve"> oder </w:t>
      </w:r>
      <w:r>
        <w:rPr>
          <w:rFonts w:ascii="Arial" w:hAnsi="Arial" w:eastAsia="Arial" w:cs="Arial"/>
          <w:color w:val="40E0D0"/>
          <w:sz w:val="24"/>
        </w:rPr>
        <w:t>ICOs</w:t>
      </w:r>
      <w:r>
        <w:rPr>
          <w:rFonts w:ascii="Arial" w:hAnsi="Arial" w:eastAsia="Arial" w:cs="Arial"/>
          <w:color w:val="E0E0E0"/>
          <w:sz w:val="24"/>
        </w:rPr>
        <w:t xml:space="preserve"> angelegt werden. Das </w:t>
      </w:r>
      <w:r>
        <w:t xml:space="preserve"> </w:t>
      </w:r>
      <w:r>
        <w:rPr>
          <w:rFonts w:ascii="Arial" w:hAnsi="Arial" w:eastAsia="Arial" w:cs="Arial"/>
          <w:b/>
          <w:color w:val="BDBDBD"/>
          <w:sz w:val="24"/>
        </w:rPr>
        <w:t>∞4-Motiv</w:t>
      </w:r>
      <w:r>
        <w:t xml:space="preserve"> </w:t>
      </w:r>
      <w:r>
        <w:rPr>
          <w:rFonts w:ascii="Arial" w:hAnsi="Arial" w:eastAsia="Arial" w:cs="Arial"/>
          <w:color w:val="E0E0E0"/>
          <w:sz w:val="24"/>
        </w:rPr>
        <w:t xml:space="preserve"> muss in jedem Asset als wiedererkennbares Kernelement präsent sein.</w:t>
      </w:r>
    </w:p>
    <w:p>
      <w:pPr>
        <w:pStyle w:val="ListBullet"/>
        <w:shd w:val="clear" w:color="auto" w:fill="0a0a0a"/>
        <w:spacing w:line="240" w:lineRule="auto" w:after="20" w:before="0"/>
      </w:pPr>
      <w:r>
        <w:rPr>
          <w:rFonts w:ascii="Arial" w:hAnsi="Arial" w:eastAsia="Arial" w:cs="Arial"/>
          <w:b/>
          <w:color w:val="BDBDBD"/>
          <w:sz w:val="24"/>
        </w:rPr>
        <w:t>Anti-Weiß-Doktrin:</w:t>
      </w:r>
      <w:r>
        <w:t xml:space="preserve"> </w:t>
      </w:r>
      <w:r>
        <w:rPr>
          <w:rFonts w:ascii="Arial" w:hAnsi="Arial" w:eastAsia="Arial" w:cs="Arial"/>
          <w:color w:val="E0E0E0"/>
          <w:sz w:val="24"/>
        </w:rPr>
        <w:t xml:space="preserve"> Weiße oder helle Hintergründe sind für alle Assets und Designs </w:t>
      </w:r>
      <w:r>
        <w:t xml:space="preserve"> </w:t>
      </w:r>
      <w:r>
        <w:rPr>
          <w:rFonts w:ascii="Arial" w:hAnsi="Arial" w:eastAsia="Arial" w:cs="Arial"/>
          <w:b/>
          <w:color w:val="BDBDBD"/>
          <w:sz w:val="24"/>
        </w:rPr>
        <w:t>strengstens untersagt</w:t>
      </w:r>
      <w:r>
        <w:rPr>
          <w:rFonts w:ascii="Arial" w:hAnsi="Arial" w:eastAsia="Arial" w:cs="Arial"/>
          <w:color w:val="E0E0E0"/>
          <w:sz w:val="24"/>
        </w:rPr>
        <w:t>. Diese Regel gewährleistet, dass sich jedes Element harmonisch in den dunklen Hintergrund einfügt und die immersive Ästhetik nicht durchbrochen wird.</w:t>
      </w:r>
    </w:p>
    <w:p>
      <w:pPr>
        <w:pStyle w:val="ListBullet"/>
        <w:shd w:val="clear" w:color="auto" w:fill="0a0a0a"/>
        <w:spacing w:line="240" w:lineRule="auto" w:after="20" w:before="0"/>
      </w:pPr>
      <w:r>
        <w:rPr>
          <w:rFonts w:ascii="Arial" w:hAnsi="Arial" w:eastAsia="Arial" w:cs="Arial"/>
          <w:b/>
          <w:color w:val="BDBDBD"/>
          <w:sz w:val="24"/>
        </w:rPr>
        <w:t>Dark Variant-Pflicht:</w:t>
      </w:r>
      <w:r>
        <w:t xml:space="preserve"> </w:t>
      </w:r>
      <w:r>
        <w:rPr>
          <w:rFonts w:ascii="Arial" w:hAnsi="Arial" w:eastAsia="Arial" w:cs="Arial"/>
          <w:color w:val="E0E0E0"/>
          <w:sz w:val="24"/>
        </w:rPr>
        <w:t xml:space="preserve"> Für jedes Asset muss eine dedizierte </w:t>
      </w:r>
      <w:r>
        <w:t xml:space="preserve"> </w:t>
      </w:r>
      <w:r>
        <w:rPr>
          <w:rFonts w:ascii="Arial" w:hAnsi="Arial" w:eastAsia="Arial" w:cs="Arial"/>
          <w:b/>
          <w:color w:val="BDBDBD"/>
          <w:sz w:val="24"/>
        </w:rPr>
        <w:t>'Dark Variant'</w:t>
      </w:r>
      <w:r>
        <w:t xml:space="preserve"> </w:t>
      </w:r>
      <w:r>
        <w:rPr>
          <w:rFonts w:ascii="Arial" w:hAnsi="Arial" w:eastAsia="Arial" w:cs="Arial"/>
          <w:color w:val="E0E0E0"/>
          <w:sz w:val="24"/>
        </w:rPr>
        <w:t xml:space="preserve"> existieren. Diese Variante muss speziell für die Darstellung auf reinem Schwarz (</w:t>
      </w:r>
      <w:r>
        <w:rPr>
          <w:rFonts w:ascii="Arial" w:hAnsi="Arial" w:eastAsia="Arial" w:cs="Arial"/>
          <w:color w:val="40E0D0"/>
          <w:sz w:val="24"/>
        </w:rPr>
        <w:t xml:space="preserve"> black-pure</w:t>
      </w:r>
      <w:r>
        <w:rPr>
          <w:rFonts w:ascii="Arial" w:hAnsi="Arial" w:eastAsia="Arial" w:cs="Arial"/>
          <w:color w:val="E0E0E0"/>
          <w:sz w:val="24"/>
        </w:rPr>
        <w:t>) optimiert sein, um maximale Klarheit und Lesbarkeit ohne störende Artefakte oder Halos zu garantieren.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Han Sans SC" w:hAnsi="Source Han Sans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Han Sans SC" w:hAnsi="Source Han Sans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Han Sans SC" w:hAnsi="Source Han Sans SC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urce Han Sans SC" w:hAnsi="Source Han Sans SC"/>
      <w:b/>
      <w:bCs/>
      <w:i/>
      <w:iCs/>
      <w:color w:val="4F81BD" w:themeColor="accent1"/>
      <w:sz w:val="1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urce Han Sans SC" w:hAnsi="Source Han Sans SC"/>
      <w:color w:val="243F60" w:themeColor="accent1" w:themeShade="7F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urce Han Sans SC" w:hAnsi="Source Han Sans SC"/>
      <w:i/>
      <w:iCs/>
      <w:color w:val="243F60" w:themeColor="accent1" w:themeShade="7F"/>
      <w:sz w:val="1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urce Han Sans SC" w:hAnsi="Source Han Sans SC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urce Han Sans SC" w:hAnsi="Source Han Sans SC"/>
      <w:sz w:val="1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/>
      <w:sz w:val="1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