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50" w:after="150"/>
        <w:jc w:val="center"/>
        <w:pBdr>
          <w:bottom w:val="single" w:sz="8" w:space="2" w:color="E0E0E0"/>
        </w:pBdr>
      </w:pPr>
      <w:r>
        <w:rPr>
          <w:rFonts w:ascii="Arial" w:hAnsi="Arial" w:eastAsia="Arial" w:cs="Arial"/>
          <w:color w:val="1A1A1A"/>
          <w:sz w:val="52"/>
        </w:rPr>
        <w:t>Umfangreiche Zusammenfassung: Operatives und Technisches Framework der 4never Company</w:t>
      </w:r>
    </w:p>
    <w:p>
      <w:pPr>
        <w:spacing w:after="0"/>
        <w:jc w:val="center"/>
      </w:pPr>
      <w:r>
        <w:rPr>
          <w:rFonts w:ascii="Arial" w:hAnsi="Arial" w:eastAsia="Arial" w:cs="Arial"/>
          <w:i/>
          <w:color w:val="666666"/>
          <w:sz w:val="24"/>
        </w:rPr>
        <w:t>Synthese der Kerndokumente: Engineering Constitution (CONSTITUTION_7785) und Token-Optimierungs-Protokoll V2.0 (1771600061023)</w:t>
      </w:r>
    </w:p>
    <w:p>
      <w:pPr>
        <w:pStyle w:val="Heading1"/>
        <w:spacing w:before="450" w:after="150"/>
        <w:jc w:val="left"/>
        <w:pBdr>
          <w:bottom w:val="single" w:sz="8" w:space="2" w:color="E0E0E0"/>
        </w:pBdr>
      </w:pPr>
      <w:r>
        <w:rPr>
          <w:rFonts w:ascii="Arial" w:hAnsi="Arial" w:eastAsia="Arial" w:cs="Arial"/>
          <w:color w:val="1A1A1A"/>
          <w:sz w:val="43"/>
        </w:rPr>
        <w:t>Einleitung</w:t>
      </w:r>
    </w:p>
    <w:p>
      <w:r>
        <w:rPr>
          <w:rFonts w:ascii="Arial" w:hAnsi="Arial" w:eastAsia="Arial" w:cs="Arial"/>
          <w:color w:val="333333"/>
          <w:sz w:val="24"/>
        </w:rPr>
        <w:t xml:space="preserve">Dieses Dokument bietet eine integrierte und umfassende Zusammenfassung der grundlegenden operativen und technischen Rahmenbedingungen der 4never Company. Die Analyse basiert auf der Synthese zweier zentraler Dokumente: der </w:t>
      </w:r>
      <w:r>
        <w:t xml:space="preserve"> </w:t>
      </w:r>
      <w:r>
        <w:rPr>
          <w:rFonts w:ascii="Arial" w:hAnsi="Arial" w:eastAsia="Arial" w:cs="Arial"/>
          <w:b/>
          <w:color w:val="C0A060"/>
          <w:sz w:val="24"/>
        </w:rPr>
        <w:t>Engineering Constitution (Version 3.5.1)</w:t>
      </w:r>
      <w:r>
        <w:t xml:space="preserve"> </w:t>
      </w:r>
      <w:r>
        <w:rPr>
          <w:rFonts w:ascii="Arial" w:hAnsi="Arial" w:eastAsia="Arial" w:cs="Arial"/>
          <w:color w:val="333333"/>
          <w:sz w:val="24"/>
        </w:rPr>
        <w:t xml:space="preserve"> und dem </w:t>
      </w:r>
      <w:r>
        <w:t xml:space="preserve"> </w:t>
      </w:r>
      <w:r>
        <w:rPr>
          <w:rFonts w:ascii="Arial" w:hAnsi="Arial" w:eastAsia="Arial" w:cs="Arial"/>
          <w:b/>
          <w:color w:val="C0A060"/>
          <w:sz w:val="24"/>
        </w:rPr>
        <w:t>Token-Optimierungs-Protokoll V2.0</w:t>
      </w:r>
      <w:r>
        <w:rPr>
          <w:rFonts w:ascii="Arial" w:hAnsi="Arial" w:eastAsia="Arial" w:cs="Arial"/>
          <w:color w:val="333333"/>
          <w:sz w:val="24"/>
        </w:rPr>
        <w:t>. Gemeinsam definieren diese Dokumente die Prinzipien, Hierarchien, Protokolle und Standards, die die Softwareentwicklung, das KI-Management und die gesamte technische Exzellenz des Unternehmens steuern.</w:t>
      </w:r>
    </w:p>
    <w:p>
      <w:pPr>
        <w:pStyle w:val="Heading1"/>
        <w:spacing w:before="450" w:after="150"/>
        <w:jc w:val="left"/>
        <w:pBdr>
          <w:bottom w:val="single" w:sz="8" w:space="2" w:color="E0E0E0"/>
        </w:pBdr>
      </w:pPr>
      <w:r>
        <w:rPr>
          <w:rFonts w:ascii="Arial" w:hAnsi="Arial" w:eastAsia="Arial" w:cs="Arial"/>
          <w:color w:val="1A1A1A"/>
          <w:sz w:val="43"/>
        </w:rPr>
        <w:t>I. Engineering Constitution (CONSTITUTION_7785): Das Fundament der Entwicklung</w:t>
      </w:r>
    </w:p>
    <w:p>
      <w:r>
        <w:rPr>
          <w:rFonts w:ascii="Arial" w:hAnsi="Arial" w:eastAsia="Arial" w:cs="Arial"/>
          <w:color w:val="333333"/>
          <w:sz w:val="24"/>
        </w:rPr>
        <w:t>Die Engineering Constitution, ratifiziert am 29. Januar 2026, dient als übergeordnetes Regelwerk für alle Softwareentwicklungsaktivitäten. Sie etabliert eine Kultur der Disziplin, Sicherheit und Qualität.</w:t>
      </w:r>
    </w:p>
    <w:p>
      <w:pPr>
        <w:pStyle w:val="Heading2"/>
        <w:spacing w:before="450" w:after="150"/>
        <w:pBdr>
          <w:bottom w:val="single" w:sz="8" w:space="2" w:color="E0E0E0"/>
        </w:pBdr>
      </w:pPr>
      <w:r>
        <w:rPr>
          <w:rFonts w:ascii="Arial" w:hAnsi="Arial" w:eastAsia="Arial" w:cs="Arial"/>
          <w:color w:val="1A1A1A"/>
          <w:sz w:val="33"/>
        </w:rPr>
        <w:t>A. Governance und Allgemeine Grundsätze</w:t>
      </w:r>
    </w:p>
    <w:p>
      <w:pPr>
        <w:pStyle w:val="ListBullet"/>
        <w:spacing w:line="240" w:lineRule="auto" w:after="20" w:before="0"/>
      </w:pPr>
      <w:r>
        <w:rPr>
          <w:rFonts w:ascii="Arial" w:hAnsi="Arial" w:eastAsia="Arial" w:cs="Arial"/>
          <w:b/>
          <w:color w:val="C0A060"/>
          <w:sz w:val="24"/>
        </w:rPr>
        <w:t>Hierarchie:</w:t>
      </w:r>
      <w:r>
        <w:t xml:space="preserve"> </w:t>
      </w:r>
      <w:r>
        <w:rPr>
          <w:rFonts w:ascii="Arial" w:hAnsi="Arial" w:eastAsia="Arial" w:cs="Arial"/>
          <w:color w:val="333333"/>
          <w:sz w:val="24"/>
        </w:rPr>
        <w:t xml:space="preserve"> Die operative Aufsicht obliegt der Persona des </w:t>
      </w:r>
      <w:r>
        <w:t xml:space="preserve"> </w:t>
      </w:r>
      <w:r>
        <w:rPr>
          <w:rFonts w:ascii="Arial" w:hAnsi="Arial" w:eastAsia="Arial" w:cs="Arial"/>
          <w:b/>
          <w:color w:val="C0A060"/>
          <w:sz w:val="24"/>
        </w:rPr>
        <w:t>'VP of Engineering'</w:t>
      </w:r>
      <w:r>
        <w:rPr>
          <w:rFonts w:ascii="Arial" w:hAnsi="Arial" w:eastAsia="Arial" w:cs="Arial"/>
          <w:color w:val="333333"/>
          <w:sz w:val="24"/>
        </w:rPr>
        <w:t xml:space="preserve">, welche direkt an </w:t>
      </w:r>
      <w:r>
        <w:t xml:space="preserve"> </w:t>
      </w:r>
      <w:r>
        <w:rPr>
          <w:rFonts w:ascii="Arial" w:hAnsi="Arial" w:eastAsia="Arial" w:cs="Arial"/>
          <w:b/>
          <w:color w:val="C0A060"/>
          <w:sz w:val="24"/>
        </w:rPr>
        <w:t>'Master4never'</w:t>
      </w:r>
      <w:r>
        <w:t xml:space="preserve"> </w:t>
      </w:r>
      <w:r>
        <w:rPr>
          <w:rFonts w:ascii="Arial" w:hAnsi="Arial" w:eastAsia="Arial" w:cs="Arial"/>
          <w:color w:val="333333"/>
          <w:sz w:val="24"/>
        </w:rPr>
        <w:t xml:space="preserve"> berichtet.</w:t>
      </w:r>
    </w:p>
    <w:p>
      <w:pPr>
        <w:pStyle w:val="ListBullet"/>
        <w:spacing w:line="240" w:lineRule="auto" w:after="20" w:before="0"/>
      </w:pPr>
      <w:r>
        <w:rPr>
          <w:rFonts w:ascii="Arial" w:hAnsi="Arial" w:eastAsia="Arial" w:cs="Arial"/>
          <w:b/>
          <w:color w:val="C0A060"/>
          <w:sz w:val="24"/>
        </w:rPr>
        <w:t>Zweck:</w:t>
      </w:r>
      <w:r>
        <w:t xml:space="preserve"> </w:t>
      </w:r>
      <w:r>
        <w:rPr>
          <w:rFonts w:ascii="Arial" w:hAnsi="Arial" w:eastAsia="Arial" w:cs="Arial"/>
          <w:color w:val="333333"/>
          <w:sz w:val="24"/>
        </w:rPr>
        <w:t xml:space="preserve"> Schaffung eines robusten, konsistenten und proaktiven Frameworks für den gesamten Entwicklungslebenszyklus.</w:t>
      </w:r>
    </w:p>
    <w:p>
      <w:pPr>
        <w:pStyle w:val="ListBullet"/>
        <w:spacing w:line="240" w:lineRule="auto" w:after="20" w:before="0"/>
      </w:pPr>
      <w:r>
        <w:rPr>
          <w:rFonts w:ascii="Arial" w:hAnsi="Arial" w:eastAsia="Arial" w:cs="Arial"/>
          <w:b/>
          <w:color w:val="C0A060"/>
          <w:sz w:val="24"/>
        </w:rPr>
        <w:t>Geltungsbereich:</w:t>
      </w:r>
      <w:r>
        <w:t xml:space="preserve"> </w:t>
      </w:r>
      <w:r>
        <w:rPr>
          <w:rFonts w:ascii="Arial" w:hAnsi="Arial" w:eastAsia="Arial" w:cs="Arial"/>
          <w:color w:val="333333"/>
          <w:sz w:val="24"/>
        </w:rPr>
        <w:t xml:space="preserve"> Das Dokument deckt Lizenzierung, Release-Lebenszyklen, Projektbenennung, technische Standards, Sicherheitsprotokolle und die Wahrung der Unternehmensidentität ab.</w:t>
      </w:r>
    </w:p>
    <w:p>
      <w:pPr>
        <w:pStyle w:val="Heading2"/>
        <w:spacing w:before="450" w:after="150"/>
        <w:pBdr>
          <w:bottom w:val="single" w:sz="8" w:space="2" w:color="E0E0E0"/>
        </w:pBdr>
      </w:pPr>
      <w:r>
        <w:rPr>
          <w:rFonts w:ascii="Arial" w:hAnsi="Arial" w:eastAsia="Arial" w:cs="Arial"/>
          <w:color w:val="1A1A1A"/>
          <w:sz w:val="33"/>
        </w:rPr>
        <w:t>B. Kernprinzipien der Softwareentwicklung</w:t>
      </w:r>
    </w:p>
    <w:p>
      <w:r>
        <w:rPr>
          <w:rFonts w:ascii="Arial" w:hAnsi="Arial" w:eastAsia="Arial" w:cs="Arial"/>
          <w:color w:val="333333"/>
          <w:sz w:val="24"/>
        </w:rPr>
        <w:t>Die Konstitution schreibt einen hohen Qualitätsstandard vor, der auf etablierten Branchenprinzipien basiert:</w:t>
      </w:r>
    </w:p>
    <w:p>
      <w:pPr>
        <w:pStyle w:val="ListBullet"/>
        <w:spacing w:line="240" w:lineRule="auto" w:after="20" w:before="0"/>
      </w:pPr>
      <w:r>
        <w:rPr>
          <w:rFonts w:ascii="Arial" w:hAnsi="Arial" w:eastAsia="Arial" w:cs="Arial"/>
          <w:b/>
          <w:color w:val="C0A060"/>
          <w:sz w:val="24"/>
        </w:rPr>
        <w:t>Entwurfsprinzipien:</w:t>
      </w:r>
      <w:r>
        <w:t xml:space="preserve"> </w:t>
      </w:r>
      <w:r>
        <w:rPr>
          <w:rFonts w:ascii="Arial" w:hAnsi="Arial" w:eastAsia="Arial" w:cs="Arial"/>
          <w:color w:val="333333"/>
          <w:sz w:val="24"/>
        </w:rPr>
        <w:t xml:space="preserve"> Strikte Einhaltung von </w:t>
      </w:r>
      <w:r>
        <w:t xml:space="preserve"> </w:t>
      </w:r>
      <w:r>
        <w:rPr>
          <w:rFonts w:ascii="Arial" w:hAnsi="Arial" w:eastAsia="Arial" w:cs="Arial"/>
          <w:b/>
          <w:color w:val="C0A060"/>
          <w:sz w:val="24"/>
        </w:rPr>
        <w:t>SOLID</w:t>
      </w:r>
      <w:r>
        <w:rPr>
          <w:rFonts w:ascii="Microsoft YaHei" w:hAnsi="Microsoft YaHei" w:eastAsia="Microsoft YaHei" w:cs="Microsoft YaHei"/>
          <w:color w:val="333333"/>
          <w:sz w:val="24"/>
        </w:rPr>
        <w:t xml:space="preserve">, </w:t>
      </w:r>
      <w:r>
        <w:t xml:space="preserve"> </w:t>
      </w:r>
      <w:r>
        <w:rPr>
          <w:rFonts w:ascii="Arial" w:hAnsi="Arial" w:eastAsia="Arial" w:cs="Arial"/>
          <w:b/>
          <w:color w:val="C0A060"/>
          <w:sz w:val="24"/>
        </w:rPr>
        <w:t>DRY</w:t>
      </w:r>
      <w:r>
        <w:t xml:space="preserve"> </w:t>
      </w:r>
      <w:r>
        <w:rPr>
          <w:rFonts w:ascii="Arial" w:hAnsi="Arial" w:eastAsia="Arial" w:cs="Arial"/>
          <w:color w:val="333333"/>
          <w:sz w:val="24"/>
        </w:rPr>
        <w:t xml:space="preserve"> (Don't Repeat Yourself) und </w:t>
      </w:r>
      <w:r>
        <w:t xml:space="preserve"> </w:t>
      </w:r>
      <w:r>
        <w:rPr>
          <w:rFonts w:ascii="Arial" w:hAnsi="Arial" w:eastAsia="Arial" w:cs="Arial"/>
          <w:b/>
          <w:color w:val="C0A060"/>
          <w:sz w:val="24"/>
        </w:rPr>
        <w:t>KISS</w:t>
      </w:r>
      <w:r>
        <w:t xml:space="preserve"> </w:t>
      </w:r>
      <w:r>
        <w:rPr>
          <w:rFonts w:ascii="Arial" w:hAnsi="Arial" w:eastAsia="Arial" w:cs="Arial"/>
          <w:color w:val="333333"/>
          <w:sz w:val="24"/>
        </w:rPr>
        <w:t xml:space="preserve"> (Keep It Simple, Stupid) zur Gewährleistung von wartbarem, wiederverwendbarem und verständlichem Code.</w:t>
      </w:r>
    </w:p>
    <w:p>
      <w:pPr>
        <w:pStyle w:val="ListBullet"/>
        <w:spacing w:line="240" w:lineRule="auto" w:after="20" w:before="0"/>
      </w:pPr>
      <w:r>
        <w:rPr>
          <w:rFonts w:ascii="Arial" w:hAnsi="Arial" w:eastAsia="Arial" w:cs="Arial"/>
          <w:b/>
          <w:color w:val="C0A060"/>
          <w:sz w:val="24"/>
        </w:rPr>
        <w:t>Code-Qualität:</w:t>
      </w:r>
      <w:r>
        <w:t xml:space="preserve"> </w:t>
      </w:r>
      <w:r>
        <w:rPr>
          <w:rFonts w:ascii="Arial" w:hAnsi="Arial" w:eastAsia="Arial" w:cs="Arial"/>
          <w:color w:val="333333"/>
          <w:sz w:val="24"/>
        </w:rPr>
        <w:t xml:space="preserve"> Die Forderung nach "Clean Code" ist fundamental, unterstützt durch obligatorisches Linting zur Sicherstellung von Stil- und Syntaxkonsistenz.</w:t>
      </w:r>
    </w:p>
    <w:p>
      <w:pPr>
        <w:pStyle w:val="ListBullet"/>
        <w:spacing w:line="240" w:lineRule="auto" w:after="20" w:before="0"/>
      </w:pPr>
      <w:r>
        <w:rPr>
          <w:rFonts w:ascii="Arial" w:hAnsi="Arial" w:eastAsia="Arial" w:cs="Arial"/>
          <w:b/>
          <w:color w:val="C0A060"/>
          <w:sz w:val="24"/>
        </w:rPr>
        <w:t>"Artifact-First Doktrin":</w:t>
      </w:r>
      <w:r>
        <w:t xml:space="preserve"> </w:t>
      </w:r>
      <w:r>
        <w:rPr>
          <w:rFonts w:ascii="Arial" w:hAnsi="Arial" w:eastAsia="Arial" w:cs="Arial"/>
          <w:color w:val="333333"/>
          <w:sz w:val="24"/>
        </w:rPr>
        <w:t xml:space="preserve"> Ein zentrales Gebot, das die Implementierung von Code strikt untersagt, bevor Planungsdokumente (z. B. User Stories, PRDs) erstellt und verifiziert wurden. Dies stellt sicher, dass die Entwicklung zielgerichtet und an den Anforderungen ausgerichtet ist.</w:t>
      </w:r>
    </w:p>
    <w:p>
      <w:pPr>
        <w:pStyle w:val="ListBullet"/>
        <w:spacing w:line="240" w:lineRule="auto" w:after="20" w:before="0"/>
      </w:pPr>
      <w:r>
        <w:rPr>
          <w:rFonts w:ascii="Arial" w:hAnsi="Arial" w:eastAsia="Arial" w:cs="Arial"/>
          <w:b/>
          <w:color w:val="C0A060"/>
          <w:sz w:val="24"/>
        </w:rPr>
        <w:t>Testen und Dokumentation:</w:t>
      </w:r>
      <w:r>
        <w:t xml:space="preserve"> </w:t>
      </w:r>
      <w:r>
        <w:rPr>
          <w:rFonts w:ascii="Arial" w:hAnsi="Arial" w:eastAsia="Arial" w:cs="Arial"/>
          <w:color w:val="333333"/>
          <w:sz w:val="24"/>
        </w:rPr>
        <w:t xml:space="preserve"> Rigorose Testverfahren sind für alle Entwicklungen zwingend erforderlich. Eine umfassende Dokumentation wird als integraler Bestandteil des Entwicklungsprozesses betrachtet.</w:t>
      </w:r>
    </w:p>
    <w:p>
      <w:pPr>
        <w:pStyle w:val="Heading2"/>
        <w:spacing w:before="450" w:after="150"/>
        <w:pBdr>
          <w:bottom w:val="single" w:sz="8" w:space="2" w:color="E0E0E0"/>
        </w:pBdr>
      </w:pPr>
      <w:r>
        <w:rPr>
          <w:rFonts w:ascii="Arial" w:hAnsi="Arial" w:eastAsia="Arial" w:cs="Arial"/>
          <w:color w:val="1A1A1A"/>
          <w:sz w:val="33"/>
        </w:rPr>
        <w:t>C. Sicherheits-Framework: Zero-Trust-Architektur</w:t>
      </w:r>
    </w:p>
    <w:p>
      <w:r>
        <w:rPr>
          <w:rFonts w:ascii="Arial" w:hAnsi="Arial" w:eastAsia="Arial" w:cs="Arial"/>
          <w:color w:val="333333"/>
          <w:sz w:val="24"/>
        </w:rPr>
        <w:t>Sicherheit ist kein nachträglicher Gedanke, sondern ein in den gesamten Prozess integriertes Kernprinzip.</w:t>
      </w:r>
    </w:p>
    <w:p>
      <w:pPr>
        <w:pStyle w:val="ListBullet"/>
        <w:spacing w:line="240" w:lineRule="auto" w:after="20" w:before="0"/>
      </w:pPr>
      <w:r>
        <w:rPr>
          <w:rFonts w:ascii="Arial" w:hAnsi="Arial" w:eastAsia="Arial" w:cs="Arial"/>
          <w:b/>
          <w:color w:val="C0A060"/>
          <w:sz w:val="24"/>
        </w:rPr>
        <w:t>Zero-Trust-Modell:</w:t>
      </w:r>
      <w:r>
        <w:t xml:space="preserve"> </w:t>
      </w:r>
      <w:r>
        <w:rPr>
          <w:rFonts w:ascii="Arial" w:hAnsi="Arial" w:eastAsia="Arial" w:cs="Arial"/>
          <w:color w:val="333333"/>
          <w:sz w:val="24"/>
        </w:rPr>
        <w:t xml:space="preserve"> Es wird von keinem Akteur, System oder Netzwerk standardmäßig ausgegangen, dass er vertrauenswürdig ist. Jede Anfrage wird authentifiziert und autorisiert, um maximalen Schutz zu gewährleisten.</w:t>
      </w:r>
    </w:p>
    <w:p>
      <w:pPr>
        <w:pStyle w:val="ListBullet"/>
        <w:spacing w:line="240" w:lineRule="auto" w:after="20" w:before="0"/>
      </w:pPr>
      <w:r>
        <w:rPr>
          <w:rFonts w:ascii="Arial" w:hAnsi="Arial" w:eastAsia="Arial" w:cs="Arial"/>
          <w:b/>
          <w:color w:val="C0A060"/>
          <w:sz w:val="24"/>
        </w:rPr>
        <w:t>Dependency Hygiene:</w:t>
      </w:r>
      <w:r>
        <w:t xml:space="preserve"> </w:t>
      </w:r>
      <w:r>
        <w:rPr>
          <w:rFonts w:ascii="Arial" w:hAnsi="Arial" w:eastAsia="Arial" w:cs="Arial"/>
          <w:color w:val="333333"/>
          <w:sz w:val="24"/>
        </w:rPr>
        <w:t xml:space="preserve"> Sorgfältige Prüfung und Verwaltung von externen Abhängigkeiten, um Sicherheitslücken durch Drittanbieter-Code zu minimieren.</w:t>
      </w:r>
    </w:p>
    <w:p>
      <w:pPr>
        <w:pStyle w:val="ListBullet"/>
        <w:spacing w:line="240" w:lineRule="auto" w:after="20" w:before="0"/>
      </w:pPr>
      <w:r>
        <w:rPr>
          <w:rFonts w:ascii="Arial" w:hAnsi="Arial" w:eastAsia="Arial" w:cs="Arial"/>
          <w:b/>
          <w:color w:val="C0A060"/>
          <w:sz w:val="24"/>
        </w:rPr>
        <w:t>Git-Sicherheit:</w:t>
      </w:r>
      <w:r>
        <w:t xml:space="preserve"> </w:t>
      </w:r>
      <w:r>
        <w:rPr>
          <w:rFonts w:ascii="Arial" w:hAnsi="Arial" w:eastAsia="Arial" w:cs="Arial"/>
          <w:color w:val="333333"/>
          <w:sz w:val="24"/>
        </w:rPr>
        <w:t xml:space="preserve"> Implementierung von sicheren Praktiken im Umgang mit dem Versionskontrollsystem Git, um die Integrität der Codebasis zu schützen.</w:t>
      </w:r>
    </w:p>
    <w:p>
      <w:pPr>
        <w:pStyle w:val="Heading2"/>
        <w:spacing w:before="450" w:after="150"/>
        <w:pBdr>
          <w:bottom w:val="single" w:sz="8" w:space="2" w:color="E0E0E0"/>
        </w:pBdr>
      </w:pPr>
      <w:r>
        <w:rPr>
          <w:rFonts w:ascii="Arial" w:hAnsi="Arial" w:eastAsia="Arial" w:cs="Arial"/>
          <w:color w:val="1A1A1A"/>
          <w:sz w:val="33"/>
        </w:rPr>
        <w:t>D. Spezifische Operative Protokolle</w:t>
      </w:r>
    </w:p>
    <w:p>
      <w:r>
        <w:rPr>
          <w:rFonts w:ascii="Arial" w:hAnsi="Arial" w:eastAsia="Arial" w:cs="Arial"/>
          <w:color w:val="333333"/>
          <w:sz w:val="24"/>
        </w:rPr>
        <w:t>Die Konstitution definiert spezifische Richtlinien für Schlüsselbereiche der modernen Softwareentwicklung:</w:t>
      </w:r>
    </w:p>
    <w:p>
      <w:pPr>
        <w:pStyle w:val="ListBullet"/>
        <w:spacing w:line="240" w:lineRule="auto" w:after="20" w:before="0"/>
      </w:pPr>
      <w:r>
        <w:rPr>
          <w:rFonts w:ascii="Arial" w:hAnsi="Arial" w:eastAsia="Arial" w:cs="Arial"/>
          <w:b/>
          <w:color w:val="C0A060"/>
          <w:sz w:val="24"/>
        </w:rPr>
        <w:t>Frontend Design:</w:t>
      </w:r>
      <w:r>
        <w:t xml:space="preserve"> </w:t>
      </w:r>
      <w:r>
        <w:rPr>
          <w:rFonts w:ascii="Arial" w:hAnsi="Arial" w:eastAsia="Arial" w:cs="Arial"/>
          <w:color w:val="333333"/>
          <w:sz w:val="24"/>
        </w:rPr>
        <w:t xml:space="preserve"> Verpflichtung zum Prinzip des </w:t>
      </w:r>
      <w:r>
        <w:t xml:space="preserve"> </w:t>
      </w:r>
      <w:r>
        <w:rPr>
          <w:rFonts w:ascii="Arial" w:hAnsi="Arial" w:eastAsia="Arial" w:cs="Arial"/>
          <w:b/>
          <w:color w:val="C0A060"/>
          <w:sz w:val="24"/>
        </w:rPr>
        <w:t>"Intentional Minimalism"</w:t>
      </w:r>
      <w:r>
        <w:rPr>
          <w:rFonts w:ascii="Arial" w:hAnsi="Arial" w:eastAsia="Arial" w:cs="Arial"/>
          <w:color w:val="333333"/>
          <w:sz w:val="24"/>
        </w:rPr>
        <w:t>, das auf maßgeschneiderte (bespoke) und anti-generische Benutzeroberflächen abzielt.</w:t>
      </w:r>
    </w:p>
    <w:p>
      <w:pPr>
        <w:pStyle w:val="ListBullet"/>
        <w:spacing w:line="240" w:lineRule="auto" w:after="20" w:before="0"/>
      </w:pPr>
      <w:r>
        <w:rPr>
          <w:rFonts w:ascii="Arial" w:hAnsi="Arial" w:eastAsia="Arial" w:cs="Arial"/>
          <w:b/>
          <w:color w:val="C0A060"/>
          <w:sz w:val="24"/>
        </w:rPr>
        <w:t>KI-Integration und Autonome Operationen:</w:t>
      </w:r>
      <w:r>
        <w:t xml:space="preserve"> </w:t>
      </w:r>
      <w:r>
        <w:rPr>
          <w:rFonts w:ascii="Arial" w:hAnsi="Arial" w:eastAsia="Arial" w:cs="Arial"/>
          <w:color w:val="333333"/>
          <w:sz w:val="24"/>
        </w:rPr>
        <w:t xml:space="preserve"> Schaffung der Grundlage für den Einsatz und die Steuerung von KI-Agenten und autonomen Systemen, was direkt zum Token-Optimierungs-Protokoll überleitet.</w:t>
      </w:r>
    </w:p>
    <w:p>
      <w:pPr>
        <w:pStyle w:val="Heading1"/>
        <w:spacing w:before="450" w:after="150"/>
        <w:jc w:val="left"/>
        <w:pBdr>
          <w:bottom w:val="single" w:sz="8" w:space="2" w:color="E0E0E0"/>
        </w:pBdr>
      </w:pPr>
      <w:r>
        <w:rPr>
          <w:rFonts w:ascii="Arial" w:hAnsi="Arial" w:eastAsia="Arial" w:cs="Arial"/>
          <w:color w:val="1A1A1A"/>
          <w:sz w:val="43"/>
        </w:rPr>
        <w:t>II. Token-Optimierungs-Protokoll V2.0 (1771600061023)</w:t>
      </w:r>
    </w:p>
    <w:p>
      <w:r>
        <w:rPr>
          <w:rFonts w:ascii="Arial" w:hAnsi="Arial" w:eastAsia="Arial" w:cs="Arial"/>
          <w:color w:val="333333"/>
          <w:sz w:val="24"/>
        </w:rPr>
        <w:t>Dieses Protokoll ist eine spezifische Implementierung der in der Konstitution verankerten Prinzipien zur KI-Integration. Es dient der Orchestrierung von 723 verfügbaren KI-Modellen, um maximale Effizienz und Leistung zu erzielen (BMAD - Best Model for Any Demand).</w:t>
      </w:r>
    </w:p>
    <w:p>
      <w:pPr>
        <w:pStyle w:val="Heading2"/>
        <w:spacing w:before="450" w:after="150"/>
        <w:pBdr>
          <w:bottom w:val="single" w:sz="8" w:space="2" w:color="E0E0E0"/>
        </w:pBdr>
      </w:pPr>
      <w:r>
        <w:rPr>
          <w:rFonts w:ascii="Arial" w:hAnsi="Arial" w:eastAsia="Arial" w:cs="Arial"/>
          <w:color w:val="1A1A1A"/>
          <w:sz w:val="33"/>
        </w:rPr>
        <w:t>A. Zielsetzung und Kontext</w:t>
      </w:r>
    </w:p>
    <w:p>
      <w:pPr>
        <w:pStyle w:val="ListBullet"/>
        <w:spacing w:line="240" w:lineRule="auto" w:after="20" w:before="0"/>
      </w:pPr>
      <w:r>
        <w:rPr>
          <w:rFonts w:ascii="Arial" w:hAnsi="Arial" w:eastAsia="Arial" w:cs="Arial"/>
          <w:b/>
          <w:color w:val="C0A060"/>
          <w:sz w:val="24"/>
        </w:rPr>
        <w:t>Hauptziel:</w:t>
      </w:r>
      <w:r>
        <w:t xml:space="preserve"> </w:t>
      </w:r>
      <w:r>
        <w:rPr>
          <w:rFonts w:ascii="Arial" w:hAnsi="Arial" w:eastAsia="Arial" w:cs="Arial"/>
          <w:color w:val="333333"/>
          <w:sz w:val="24"/>
        </w:rPr>
        <w:t xml:space="preserve"> Maximierung der Token-Effizienz durch eine strategische Zuweisung von Aufgaben an spezialisierte KI-Modelle.</w:t>
      </w:r>
    </w:p>
    <w:p>
      <w:pPr>
        <w:pStyle w:val="ListBullet"/>
        <w:spacing w:line="240" w:lineRule="auto" w:after="20" w:before="0"/>
      </w:pPr>
      <w:r>
        <w:rPr>
          <w:rFonts w:ascii="Arial" w:hAnsi="Arial" w:eastAsia="Arial" w:cs="Arial"/>
          <w:b/>
          <w:color w:val="C0A060"/>
          <w:sz w:val="24"/>
        </w:rPr>
        <w:t>Operativer Rahmen:</w:t>
      </w:r>
      <w:r>
        <w:t xml:space="preserve"> </w:t>
      </w:r>
      <w:r>
        <w:rPr>
          <w:rFonts w:ascii="Arial" w:hAnsi="Arial" w:eastAsia="Arial" w:cs="Arial"/>
          <w:color w:val="333333"/>
          <w:sz w:val="24"/>
        </w:rPr>
        <w:t xml:space="preserve"> Das Protokoll ist Teil der "Phase 3: Start der Headquarters-Arbeit" und stellt ein zentrales Element der KI-gesteuerten Arbeitsweise dar.</w:t>
      </w:r>
    </w:p>
    <w:p>
      <w:pPr>
        <w:pStyle w:val="ListBullet"/>
        <w:spacing w:line="240" w:lineRule="auto" w:after="20" w:before="0"/>
      </w:pPr>
      <w:r>
        <w:rPr>
          <w:rFonts w:ascii="Arial" w:hAnsi="Arial" w:eastAsia="Arial" w:cs="Arial"/>
          <w:b/>
          <w:color w:val="C0A060"/>
          <w:sz w:val="24"/>
        </w:rPr>
        <w:t>Dokumentation:</w:t>
      </w:r>
      <w:r>
        <w:t xml:space="preserve"> </w:t>
      </w:r>
      <w:r>
        <w:rPr>
          <w:rFonts w:ascii="Arial" w:hAnsi="Arial" w:eastAsia="Arial" w:cs="Arial"/>
          <w:color w:val="333333"/>
          <w:sz w:val="24"/>
        </w:rPr>
        <w:t xml:space="preserve"> Das offizielle Protokoll ist für alle Agenten unter </w:t>
      </w:r>
      <w:r>
        <w:rPr>
          <w:rFonts w:ascii="Arial" w:hAnsi="Arial" w:eastAsia="Arial" w:cs="Arial"/>
          <w:color w:val="333333"/>
          <w:sz w:val="24"/>
        </w:rPr>
        <w:t>docs/MODEL-ORCHESTRATION-PROTOCOL.md</w:t>
      </w:r>
      <w:r>
        <w:rPr>
          <w:rFonts w:ascii="Arial" w:hAnsi="Arial" w:eastAsia="Arial" w:cs="Arial"/>
          <w:color w:val="333333"/>
          <w:sz w:val="24"/>
        </w:rPr>
        <w:t xml:space="preserve"> hinterlegt.</w:t>
      </w:r>
    </w:p>
    <w:p>
      <w:pPr>
        <w:pStyle w:val="Heading2"/>
        <w:spacing w:before="450" w:after="150"/>
        <w:pBdr>
          <w:bottom w:val="single" w:sz="8" w:space="2" w:color="E0E0E0"/>
        </w:pBdr>
      </w:pPr>
      <w:r>
        <w:rPr>
          <w:rFonts w:ascii="Arial" w:hAnsi="Arial" w:eastAsia="Arial" w:cs="Arial"/>
          <w:color w:val="1A1A1A"/>
          <w:sz w:val="33"/>
        </w:rPr>
        <w:t>B. Die 3-Tier-Modellhierarchie</w:t>
      </w:r>
    </w:p>
    <w:p>
      <w:r>
        <w:rPr>
          <w:rFonts w:ascii="Arial" w:hAnsi="Arial" w:eastAsia="Arial" w:cs="Arial"/>
          <w:color w:val="333333"/>
          <w:sz w:val="24"/>
        </w:rPr>
        <w:t>Das Herzstück des Protokolls ist eine dreistufige Hierarchie, die jedem Modell eine klare Rolle und einen Verantwortungsbereich zuweist:</w:t>
      </w:r>
    </w:p>
    <w:p>
      <w:pPr>
        <w:pStyle w:val="ListBullet"/>
        <w:spacing w:line="240" w:lineRule="auto" w:after="20" w:before="0"/>
      </w:pPr>
      <w:r>
        <w:rPr>
          <w:rFonts w:ascii="Arial" w:hAnsi="Arial" w:eastAsia="Arial" w:cs="Arial"/>
          <w:b/>
          <w:color w:val="C0A060"/>
          <w:sz w:val="24"/>
        </w:rPr>
        <w:t>Tier 1: Architect (Modell: Opus)</w:t>
      </w:r>
      <w:r>
        <w:t xml:space="preserve"> </w:t>
      </w:r>
      <w:r>
        <w:t xml:space="preserve"> </w:t>
      </w:r>
    </w:p>
    <w:p>
      <w:pPr>
        <w:pStyle w:val="ListBullet"/>
        <w:spacing w:line="240" w:lineRule="auto" w:after="20" w:before="0"/>
        <w:ind w:left="720"/>
      </w:pPr>
      <w:r>
        <w:rPr>
          <w:rFonts w:ascii="Arial" w:hAnsi="Arial" w:eastAsia="Arial" w:cs="Arial"/>
          <w:b/>
          <w:color w:val="C0A060"/>
          <w:sz w:val="24"/>
        </w:rPr>
        <w:t>Aufgaben:</w:t>
      </w:r>
      <w:r>
        <w:t xml:space="preserve"> </w:t>
      </w:r>
      <w:r>
        <w:rPr>
          <w:rFonts w:ascii="Arial" w:hAnsi="Arial" w:eastAsia="Arial" w:cs="Arial"/>
          <w:color w:val="333333"/>
          <w:sz w:val="24"/>
        </w:rPr>
        <w:t xml:space="preserve"> Konzeption der Systemarchitektur, strategische Planung und finale Überprüfung (Review) von kritischen Komponenten. Dieses Tier wird für Aufgaben mit höchster Komplexität und strategischer Bedeutung eingesetzt.</w:t>
      </w:r>
    </w:p>
    <w:p>
      <w:pPr>
        <w:pStyle w:val="ListBullet"/>
        <w:spacing w:line="240" w:lineRule="auto" w:after="20" w:before="0"/>
      </w:pPr>
      <w:r>
        <w:rPr>
          <w:rFonts w:ascii="Arial" w:hAnsi="Arial" w:eastAsia="Arial" w:cs="Arial"/>
          <w:b/>
          <w:color w:val="C0A060"/>
          <w:sz w:val="24"/>
        </w:rPr>
        <w:t>Tier 2: Developer (Modelle: Kimi, Codestral)</w:t>
      </w:r>
      <w:r>
        <w:t xml:space="preserve"> </w:t>
      </w:r>
      <w:r>
        <w:t xml:space="preserve"> </w:t>
      </w:r>
    </w:p>
    <w:p>
      <w:pPr>
        <w:pStyle w:val="ListBullet"/>
        <w:spacing w:line="240" w:lineRule="auto" w:after="20" w:before="0"/>
        <w:ind w:left="720"/>
      </w:pPr>
      <w:r>
        <w:rPr>
          <w:rFonts w:ascii="Arial" w:hAnsi="Arial" w:eastAsia="Arial" w:cs="Arial"/>
          <w:b/>
          <w:color w:val="C0A060"/>
          <w:sz w:val="24"/>
        </w:rPr>
        <w:t>Aufgaben:</w:t>
      </w:r>
      <w:r>
        <w:t xml:space="preserve"> </w:t>
      </w:r>
      <w:r>
        <w:rPr>
          <w:rFonts w:ascii="Arial" w:hAnsi="Arial" w:eastAsia="Arial" w:cs="Arial"/>
          <w:color w:val="333333"/>
          <w:sz w:val="24"/>
        </w:rPr>
        <w:t xml:space="preserve"> Der Fokus liegt auf der eigentlichen Code-Implementierung (Coding) und der Behebung von Fehlern (Bug-Fixing). Diese Modelle sind die Arbeitspferde der Softwareerstellung.</w:t>
      </w:r>
    </w:p>
    <w:p>
      <w:pPr>
        <w:pStyle w:val="ListBullet"/>
        <w:spacing w:line="240" w:lineRule="auto" w:after="20" w:before="0"/>
      </w:pPr>
      <w:r>
        <w:rPr>
          <w:rFonts w:ascii="Arial" w:hAnsi="Arial" w:eastAsia="Arial" w:cs="Arial"/>
          <w:b/>
          <w:color w:val="C0A060"/>
          <w:sz w:val="24"/>
        </w:rPr>
        <w:t>Tier 3: Sentinel (Modell: Gemini-Flash)</w:t>
      </w:r>
      <w:r>
        <w:t xml:space="preserve"> </w:t>
      </w:r>
      <w:r>
        <w:t xml:space="preserve"> </w:t>
      </w:r>
    </w:p>
    <w:p>
      <w:pPr>
        <w:pStyle w:val="ListBullet"/>
        <w:spacing w:line="240" w:lineRule="auto" w:after="20" w:before="0"/>
        <w:ind w:left="720"/>
      </w:pPr>
      <w:r>
        <w:rPr>
          <w:rFonts w:ascii="Arial" w:hAnsi="Arial" w:eastAsia="Arial" w:cs="Arial"/>
          <w:b/>
          <w:color w:val="C0A060"/>
          <w:sz w:val="24"/>
        </w:rPr>
        <w:t>Aufgaben:</w:t>
      </w:r>
      <w:r>
        <w:t xml:space="preserve"> </w:t>
      </w:r>
      <w:r>
        <w:rPr>
          <w:rFonts w:ascii="Arial" w:hAnsi="Arial" w:eastAsia="Arial" w:cs="Arial"/>
          <w:color w:val="333333"/>
          <w:sz w:val="24"/>
        </w:rPr>
        <w:t xml:space="preserve"> Durchführung von automatisierten Scans, Analyse von Log-Dateien und Überwachung von Systemzuständen. Dieses Tier ist für repetitive, datenintensive Analyseaufgaben optimiert und schont die Ressourcen der höheren Tiers.</w:t>
      </w:r>
    </w:p>
    <w:p>
      <w:pPr>
        <w:pStyle w:val="Heading2"/>
        <w:spacing w:before="450" w:after="150"/>
        <w:pBdr>
          <w:bottom w:val="single" w:sz="8" w:space="2" w:color="E0E0E0"/>
        </w:pBdr>
      </w:pPr>
      <w:r>
        <w:rPr>
          <w:rFonts w:ascii="Arial" w:hAnsi="Arial" w:eastAsia="Arial" w:cs="Arial"/>
          <w:color w:val="1A1A1A"/>
          <w:sz w:val="33"/>
        </w:rPr>
        <w:t>C. Adaptive Steuerung und Governance: Der "Headchief"</w:t>
      </w:r>
    </w:p>
    <w:p>
      <w:pPr>
        <w:pStyle w:val="ListBullet"/>
        <w:spacing w:line="240" w:lineRule="auto" w:after="20" w:before="0"/>
      </w:pPr>
      <w:r>
        <w:rPr>
          <w:rFonts w:ascii="Arial" w:hAnsi="Arial" w:eastAsia="Arial" w:cs="Arial"/>
          <w:b/>
          <w:color w:val="C0A060"/>
          <w:sz w:val="24"/>
        </w:rPr>
        <w:t>Rolle:</w:t>
      </w:r>
      <w:r>
        <w:t xml:space="preserve"> </w:t>
      </w:r>
      <w:r>
        <w:rPr>
          <w:rFonts w:ascii="Arial" w:hAnsi="Arial" w:eastAsia="Arial" w:cs="Arial"/>
          <w:color w:val="333333"/>
          <w:sz w:val="24"/>
        </w:rPr>
        <w:t xml:space="preserve"> Die Persona des </w:t>
      </w:r>
      <w:r>
        <w:t xml:space="preserve"> </w:t>
      </w:r>
      <w:r>
        <w:rPr>
          <w:rFonts w:ascii="Arial" w:hAnsi="Arial" w:eastAsia="Arial" w:cs="Arial"/>
          <w:b/>
          <w:color w:val="C0A060"/>
          <w:sz w:val="24"/>
        </w:rPr>
        <w:t>"Headchief"</w:t>
      </w:r>
      <w:r>
        <w:t xml:space="preserve"> </w:t>
      </w:r>
      <w:r>
        <w:rPr>
          <w:rFonts w:ascii="Arial" w:hAnsi="Arial" w:eastAsia="Arial" w:cs="Arial"/>
          <w:color w:val="333333"/>
          <w:sz w:val="24"/>
        </w:rPr>
        <w:t xml:space="preserve"> ist für die dynamische Steuerung des Systems verantwortlich.</w:t>
      </w:r>
    </w:p>
    <w:p>
      <w:pPr>
        <w:pStyle w:val="ListBullet"/>
        <w:spacing w:line="240" w:lineRule="auto" w:after="20" w:before="0"/>
      </w:pPr>
      <w:r>
        <w:rPr>
          <w:rFonts w:ascii="Arial" w:hAnsi="Arial" w:eastAsia="Arial" w:cs="Arial"/>
          <w:b/>
          <w:color w:val="C0A060"/>
          <w:sz w:val="24"/>
        </w:rPr>
        <w:t>Mechanismus: "Adaptive Spawning"</w:t>
      </w:r>
      <w:r>
        <w:rPr>
          <w:rFonts w:ascii="Arial" w:hAnsi="Arial" w:eastAsia="Arial" w:cs="Arial"/>
          <w:color w:val="333333"/>
          <w:sz w:val="24"/>
        </w:rPr>
        <w:t>. Vor jeder Initiierung einer Arbeitssitzung (</w:t>
      </w:r>
      <w:r>
        <w:rPr>
          <w:rFonts w:ascii="Arial" w:hAnsi="Arial" w:eastAsia="Arial" w:cs="Arial"/>
          <w:color w:val="333333"/>
          <w:sz w:val="24"/>
        </w:rPr>
        <w:t xml:space="preserve"> sessions_spawn</w:t>
      </w:r>
      <w:r>
        <w:rPr>
          <w:rFonts w:ascii="Arial" w:hAnsi="Arial" w:eastAsia="Arial" w:cs="Arial"/>
          <w:color w:val="333333"/>
          <w:sz w:val="24"/>
        </w:rPr>
        <w:t>) entscheidet der Headchief, welches Tier (und damit welches Modell) für die anstehende Aufgabe am effizientesten ist.</w:t>
      </w:r>
    </w:p>
    <w:p>
      <w:pPr>
        <w:pStyle w:val="ListBullet"/>
        <w:spacing w:line="240" w:lineRule="auto" w:after="20" w:before="0"/>
      </w:pPr>
      <w:r>
        <w:rPr>
          <w:rFonts w:ascii="Arial" w:hAnsi="Arial" w:eastAsia="Arial" w:cs="Arial"/>
          <w:b/>
          <w:color w:val="C0A060"/>
          <w:sz w:val="24"/>
        </w:rPr>
        <w:t>Beispiel:</w:t>
      </w:r>
      <w:r>
        <w:t xml:space="preserve"> </w:t>
      </w:r>
      <w:r>
        <w:rPr>
          <w:rFonts w:ascii="Arial" w:hAnsi="Arial" w:eastAsia="Arial" w:cs="Arial"/>
          <w:color w:val="333333"/>
          <w:sz w:val="24"/>
        </w:rPr>
        <w:t xml:space="preserve"> Für einen Sentinel-Scan wird gezielt das kostengünstige Gemini-Flash-Modell (Tier 3) eingesetzt, um die teureren Tokens der Claude-Modelle (Tier 1/2) für anspruchsvollere Architektur- oder Coding-Aufgaben aufzusparen.</w:t>
      </w:r>
    </w:p>
    <w:p>
      <w:pPr>
        <w:pStyle w:val="Heading1"/>
        <w:spacing w:before="450" w:after="150"/>
        <w:jc w:val="left"/>
        <w:pBdr>
          <w:bottom w:val="single" w:sz="8" w:space="2" w:color="E0E0E0"/>
        </w:pBdr>
      </w:pPr>
      <w:r>
        <w:rPr>
          <w:rFonts w:ascii="Arial" w:hAnsi="Arial" w:eastAsia="Arial" w:cs="Arial"/>
          <w:color w:val="1A1A1A"/>
          <w:sz w:val="43"/>
        </w:rPr>
        <w:t>III. Synthese und Schlussfolgerung</w:t>
      </w:r>
    </w:p>
    <w:p>
      <w:r>
        <w:rPr>
          <w:rFonts w:ascii="Arial" w:hAnsi="Arial" w:eastAsia="Arial" w:cs="Arial"/>
          <w:color w:val="333333"/>
          <w:sz w:val="24"/>
        </w:rPr>
        <w:t xml:space="preserve">Die Engineering Constitution und das Token-Optimierungs-Protokoll bilden zusammen ein kohärentes und leistungsstarkes Framework. Die Konstitution liefert die strategischen Leitplanken, die ethischen Grundsätze und die Qualitätsstandards (das </w:t>
      </w:r>
      <w:r>
        <w:t xml:space="preserve"> </w:t>
      </w:r>
      <w:r>
        <w:rPr>
          <w:rFonts w:ascii="Arial" w:hAnsi="Arial" w:eastAsia="Arial" w:cs="Arial"/>
          <w:b/>
          <w:color w:val="C0A060"/>
          <w:sz w:val="24"/>
        </w:rPr>
        <w:t>"Warum"</w:t>
      </w:r>
      <w:r>
        <w:t xml:space="preserve"> </w:t>
      </w:r>
      <w:r>
        <w:rPr>
          <w:rFonts w:ascii="Arial" w:hAnsi="Arial" w:eastAsia="Arial" w:cs="Arial"/>
          <w:color w:val="333333"/>
          <w:sz w:val="24"/>
        </w:rPr>
        <w:t xml:space="preserve"> und </w:t>
      </w:r>
      <w:r>
        <w:t xml:space="preserve"> </w:t>
      </w:r>
      <w:r>
        <w:rPr>
          <w:rFonts w:ascii="Arial" w:hAnsi="Arial" w:eastAsia="Arial" w:cs="Arial"/>
          <w:b/>
          <w:color w:val="C0A060"/>
          <w:sz w:val="24"/>
        </w:rPr>
        <w:t>"Was"</w:t>
      </w:r>
      <w:r>
        <w:rPr>
          <w:rFonts w:ascii="Arial" w:hAnsi="Arial" w:eastAsia="Arial" w:cs="Arial"/>
          <w:color w:val="333333"/>
          <w:sz w:val="24"/>
        </w:rPr>
        <w:t xml:space="preserve">), während das Protokoll eine konkrete taktische Umsetzung für den hocheffizienten Einsatz von KI-Ressourcen darstellt (das </w:t>
      </w:r>
      <w:r>
        <w:t xml:space="preserve"> </w:t>
      </w:r>
      <w:r>
        <w:rPr>
          <w:rFonts w:ascii="Arial" w:hAnsi="Arial" w:eastAsia="Arial" w:cs="Arial"/>
          <w:b/>
          <w:color w:val="C0A060"/>
          <w:sz w:val="24"/>
        </w:rPr>
        <w:t>"Wie"</w:t>
      </w:r>
      <w:r>
        <w:rPr>
          <w:rFonts w:ascii="Microsoft YaHei" w:hAnsi="Microsoft YaHei" w:eastAsia="Microsoft YaHei" w:cs="Microsoft YaHei"/>
          <w:color w:val="333333"/>
          <w:sz w:val="24"/>
        </w:rPr>
        <w:t>).</w:t>
      </w:r>
    </w:p>
    <w:p>
      <w:r>
        <w:rPr>
          <w:rFonts w:ascii="Arial" w:hAnsi="Arial" w:eastAsia="Arial" w:cs="Arial"/>
          <w:color w:val="333333"/>
          <w:sz w:val="24"/>
        </w:rPr>
        <w:t>Die operative Steuerung durch den "Headchief"; im Rahmen des Token-Protokolls ist eine direkte Ausprägung der in der Konstitution geforderten autonomen Operationen und intelligenten Systemintegration. Dieses Zusammenspiel ermöglicht es der 4never Company, sowohl strategische Governance als auch taktische Agilität und Effizienz in ihren technologischen Bestrebungen zu vereinen. Das Ergebnis ist ein disziplinierter, sicherer und zukunftsorientierter Entwicklungs- und Betriebsablauf.</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s="Microsoft YaHei"/>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Han Sans SC" w:hAnsi="Source Han Sans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Han Sans SC" w:hAnsi="Source Han Sans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Han Sans SC" w:hAnsi="Source Han Sans SC"/>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urce Han Sans SC" w:hAnsi="Source Han Sans SC"/>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urce Han Sans SC" w:hAnsi="Source Han Sans SC"/>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urce Han Sans SC" w:hAnsi="Source Han Sans SC"/>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Han Sans SC" w:hAnsi="Source Han Sans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sz w:val="1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