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7C65671" w14:textId="6B193E69" w:rsidR="00B4663F" w:rsidRDefault="00B4663F" w:rsidP="00B4663F">
      <w:pPr>
        <w:spacing w:after="0"/>
        <w:jc w:val="center"/>
        <w:rPr>
          <w:rFonts w:ascii="Poppins" w:eastAsia="Times New Roman" w:hAnsi="Poppins" w:cs="Poppins"/>
          <w:b/>
          <w:bCs/>
          <w:color w:val="70AD47" w:themeColor="accent6"/>
          <w:kern w:val="36"/>
          <w:sz w:val="40"/>
          <w:szCs w:val="40"/>
          <w:lang w:val="es-ES" w:eastAsia="es-AR"/>
          <w14:ligatures w14:val="none"/>
        </w:rPr>
      </w:pPr>
      <w:r>
        <w:rPr>
          <w:rFonts w:ascii="Poppins" w:eastAsia="Times New Roman" w:hAnsi="Poppins" w:cs="Poppins"/>
          <w:b/>
          <w:bCs/>
          <w:noProof/>
          <w:color w:val="70AD47" w:themeColor="accent6"/>
          <w:kern w:val="36"/>
          <w:sz w:val="40"/>
          <w:szCs w:val="40"/>
          <w:lang w:val="es-ES" w:eastAsia="es-AR"/>
        </w:rPr>
        <w:drawing>
          <wp:inline distT="0" distB="0" distL="0" distR="0" wp14:anchorId="7B2D8E87" wp14:editId="427C450B">
            <wp:extent cx="3360420" cy="1890039"/>
            <wp:effectExtent l="0" t="0" r="0" b="0"/>
            <wp:docPr id="167549186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5491865" name="Imagen 1675491865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73346" cy="18973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6E7D15" w14:textId="4351E4E1" w:rsidR="001A3399" w:rsidRPr="00B4663F" w:rsidRDefault="001A3399" w:rsidP="00B4663F">
      <w:pPr>
        <w:spacing w:after="0"/>
        <w:jc w:val="center"/>
        <w:rPr>
          <w:rFonts w:ascii="Poppins" w:eastAsia="Times New Roman" w:hAnsi="Poppins" w:cs="Poppins"/>
          <w:b/>
          <w:bCs/>
          <w:color w:val="70AD47" w:themeColor="accent6"/>
          <w:kern w:val="36"/>
          <w:sz w:val="40"/>
          <w:szCs w:val="40"/>
          <w:lang w:val="es-ES" w:eastAsia="es-AR"/>
          <w14:ligatures w14:val="none"/>
        </w:rPr>
      </w:pPr>
      <w:r w:rsidRPr="00B4663F">
        <w:rPr>
          <w:rFonts w:ascii="Poppins" w:eastAsia="Times New Roman" w:hAnsi="Poppins" w:cs="Poppins"/>
          <w:b/>
          <w:bCs/>
          <w:color w:val="70AD47" w:themeColor="accent6"/>
          <w:kern w:val="36"/>
          <w:sz w:val="40"/>
          <w:szCs w:val="40"/>
          <w:lang w:val="es-ES" w:eastAsia="es-AR"/>
          <w14:ligatures w14:val="none"/>
        </w:rPr>
        <w:t>Finanzas de la agencia: Break-Even Point</w:t>
      </w:r>
    </w:p>
    <w:p w14:paraId="11169FA0" w14:textId="77777777" w:rsidR="001A3399" w:rsidRPr="00B4663F" w:rsidRDefault="001A3399" w:rsidP="001A3399">
      <w:pPr>
        <w:pStyle w:val="Ttulo4"/>
        <w:spacing w:before="0"/>
        <w:rPr>
          <w:rFonts w:ascii="Poppins" w:hAnsi="Poppins" w:cs="Poppins"/>
          <w:b/>
          <w:bCs/>
          <w:i w:val="0"/>
          <w:iCs w:val="0"/>
          <w:color w:val="385623" w:themeColor="accent6" w:themeShade="80"/>
          <w:sz w:val="28"/>
          <w:szCs w:val="28"/>
        </w:rPr>
      </w:pPr>
      <w:r w:rsidRPr="00B4663F">
        <w:rPr>
          <w:rFonts w:ascii="Poppins" w:hAnsi="Poppins" w:cs="Poppins"/>
          <w:b/>
          <w:bCs/>
          <w:i w:val="0"/>
          <w:iCs w:val="0"/>
          <w:color w:val="385623" w:themeColor="accent6" w:themeShade="80"/>
          <w:sz w:val="28"/>
          <w:szCs w:val="28"/>
        </w:rPr>
        <w:t>Paso 1: Fijación del Precio Real</w:t>
      </w:r>
    </w:p>
    <w:p w14:paraId="468642A5" w14:textId="1DDEED71" w:rsidR="00805E74" w:rsidRPr="00805E74" w:rsidRDefault="001A3399" w:rsidP="00805E74">
      <w:pPr>
        <w:pStyle w:val="NormalWeb"/>
        <w:spacing w:before="0" w:beforeAutospacing="0"/>
        <w:rPr>
          <w:rFonts w:ascii="Poppins" w:hAnsi="Poppins" w:cs="Poppins"/>
        </w:rPr>
      </w:pPr>
      <w:r w:rsidRPr="001A3399">
        <w:rPr>
          <w:rFonts w:ascii="Poppins" w:hAnsi="Poppins" w:cs="Poppins"/>
        </w:rPr>
        <w:t xml:space="preserve">Para definir el modelo de cobro de </w:t>
      </w:r>
      <w:r w:rsidRPr="00B4663F">
        <w:rPr>
          <w:rFonts w:ascii="Poppins" w:hAnsi="Poppins" w:cs="Poppins"/>
        </w:rPr>
        <w:t>Lüp</w:t>
      </w:r>
      <w:r w:rsidRPr="001A3399">
        <w:rPr>
          <w:rFonts w:ascii="Poppins" w:hAnsi="Poppins" w:cs="Poppins"/>
        </w:rPr>
        <w:t>, consideramos una estrategia B2B SaaS (Software as a Service)</w:t>
      </w:r>
      <w:r w:rsidR="00805E74">
        <w:rPr>
          <w:rFonts w:ascii="Poppins" w:hAnsi="Poppins" w:cs="Poppins"/>
        </w:rPr>
        <w:t>.</w:t>
      </w:r>
      <w:r w:rsidRPr="001A3399">
        <w:rPr>
          <w:rFonts w:ascii="Poppins" w:hAnsi="Poppins" w:cs="Poppins"/>
        </w:rPr>
        <w:t xml:space="preserve"> </w:t>
      </w:r>
      <w:r w:rsidR="00805E74" w:rsidRPr="00805E74">
        <w:rPr>
          <w:rFonts w:ascii="Poppins" w:hAnsi="Poppins" w:cs="Poppins"/>
        </w:rPr>
        <w:t xml:space="preserve">La monetización se realiza mediante la cobranza de una comisión porcentual sobre cada venta o reserva concretada a través de la plataforma. </w:t>
      </w:r>
    </w:p>
    <w:p w14:paraId="27B789A9" w14:textId="77777777" w:rsidR="00805E74" w:rsidRPr="00805E74" w:rsidRDefault="00805E74" w:rsidP="00805E74">
      <w:pPr>
        <w:pStyle w:val="NormalWeb"/>
        <w:numPr>
          <w:ilvl w:val="0"/>
          <w:numId w:val="4"/>
        </w:numPr>
        <w:spacing w:before="0" w:beforeAutospacing="0"/>
        <w:rPr>
          <w:rFonts w:ascii="Poppins" w:hAnsi="Poppins" w:cs="Poppins"/>
        </w:rPr>
      </w:pPr>
      <w:r w:rsidRPr="00805E74">
        <w:rPr>
          <w:rFonts w:ascii="Poppins" w:hAnsi="Poppins" w:cs="Poppins"/>
          <w:b/>
          <w:bCs/>
        </w:rPr>
        <w:t>Modelo de Monetización:</w:t>
      </w:r>
      <w:r w:rsidRPr="00805E74">
        <w:rPr>
          <w:rFonts w:ascii="Poppins" w:hAnsi="Poppins" w:cs="Poppins"/>
        </w:rPr>
        <w:t xml:space="preserve"> Comisión transaccional sobre el total reservado.</w:t>
      </w:r>
    </w:p>
    <w:p w14:paraId="4728EA71" w14:textId="77777777" w:rsidR="00805E74" w:rsidRPr="00805E74" w:rsidRDefault="00805E74" w:rsidP="00805E74">
      <w:pPr>
        <w:pStyle w:val="NormalWeb"/>
        <w:numPr>
          <w:ilvl w:val="0"/>
          <w:numId w:val="4"/>
        </w:numPr>
        <w:spacing w:before="0" w:beforeAutospacing="0"/>
        <w:rPr>
          <w:rFonts w:ascii="Poppins" w:hAnsi="Poppins" w:cs="Poppins"/>
        </w:rPr>
      </w:pPr>
      <w:r w:rsidRPr="00805E74">
        <w:rPr>
          <w:rFonts w:ascii="Poppins" w:hAnsi="Poppins" w:cs="Poppins"/>
          <w:b/>
          <w:bCs/>
        </w:rPr>
        <w:t>Comisión cobrada por Lüp:</w:t>
      </w:r>
      <w:r w:rsidRPr="00805E74">
        <w:rPr>
          <w:rFonts w:ascii="Poppins" w:hAnsi="Poppins" w:cs="Poppins"/>
        </w:rPr>
        <w:t xml:space="preserve"> </w:t>
      </w:r>
      <w:r w:rsidRPr="00805E74">
        <w:rPr>
          <w:rFonts w:ascii="Poppins" w:hAnsi="Poppins" w:cs="Poppins"/>
          <w:b/>
          <w:bCs/>
        </w:rPr>
        <w:t>20%</w:t>
      </w:r>
      <w:r w:rsidRPr="00805E74">
        <w:rPr>
          <w:rFonts w:ascii="Poppins" w:hAnsi="Poppins" w:cs="Poppins"/>
        </w:rPr>
        <w:t xml:space="preserve"> por cada venta realizada.</w:t>
      </w:r>
    </w:p>
    <w:p w14:paraId="69E32985" w14:textId="3C390FD8" w:rsidR="001A3399" w:rsidRPr="00805E74" w:rsidRDefault="00805E74" w:rsidP="00805E74">
      <w:pPr>
        <w:pStyle w:val="NormalWeb"/>
        <w:numPr>
          <w:ilvl w:val="0"/>
          <w:numId w:val="4"/>
        </w:numPr>
        <w:spacing w:before="0" w:beforeAutospacing="0"/>
        <w:rPr>
          <w:rFonts w:ascii="Poppins" w:hAnsi="Poppins" w:cs="Poppins"/>
        </w:rPr>
      </w:pPr>
      <w:r w:rsidRPr="00805E74">
        <w:rPr>
          <w:rFonts w:ascii="Poppins" w:hAnsi="Poppins" w:cs="Poppins"/>
          <w:b/>
          <w:bCs/>
        </w:rPr>
        <w:t>Ingreso Promedio por Venta (Precio de Venta Unitario = PVU):</w:t>
      </w:r>
      <w:r w:rsidRPr="00805E74">
        <w:rPr>
          <w:rFonts w:ascii="Poppins" w:hAnsi="Poppins" w:cs="Poppins"/>
        </w:rPr>
        <w:t xml:space="preserve"> </w:t>
      </w:r>
      <w:r w:rsidRPr="00805E74">
        <w:rPr>
          <w:rFonts w:ascii="Poppins" w:hAnsi="Poppins" w:cs="Poppins"/>
          <w:b/>
          <w:bCs/>
        </w:rPr>
        <w:t>$1.200 ARS</w:t>
      </w:r>
      <w:r w:rsidRPr="00805E74">
        <w:rPr>
          <w:rFonts w:ascii="Poppins" w:hAnsi="Poppins" w:cs="Poppins"/>
        </w:rPr>
        <w:t xml:space="preserve"> (20% de $6.000).</w:t>
      </w:r>
    </w:p>
    <w:p w14:paraId="4ABCB40C" w14:textId="77777777" w:rsidR="001A3399" w:rsidRPr="00F642CE" w:rsidRDefault="001A3399" w:rsidP="001A3399">
      <w:pPr>
        <w:pStyle w:val="Ttulo4"/>
        <w:spacing w:before="0"/>
        <w:rPr>
          <w:rFonts w:ascii="Poppins" w:hAnsi="Poppins" w:cs="Poppins"/>
          <w:b/>
          <w:bCs/>
          <w:i w:val="0"/>
          <w:iCs w:val="0"/>
          <w:color w:val="385623" w:themeColor="accent6" w:themeShade="80"/>
          <w:sz w:val="28"/>
          <w:szCs w:val="28"/>
        </w:rPr>
      </w:pPr>
      <w:r w:rsidRPr="00F642CE">
        <w:rPr>
          <w:rFonts w:ascii="Poppins" w:hAnsi="Poppins" w:cs="Poppins"/>
          <w:b/>
          <w:bCs/>
          <w:i w:val="0"/>
          <w:iCs w:val="0"/>
          <w:color w:val="385623" w:themeColor="accent6" w:themeShade="80"/>
          <w:sz w:val="28"/>
          <w:szCs w:val="28"/>
        </w:rPr>
        <w:t>Paso 2: El Cálculo de Supervivencia (Punto de Equilibrio)</w:t>
      </w:r>
    </w:p>
    <w:p w14:paraId="646F18F6" w14:textId="77777777" w:rsidR="00805E74" w:rsidRPr="00805E74" w:rsidRDefault="00805E74" w:rsidP="00805E74">
      <w:pPr>
        <w:pStyle w:val="Ttulo5"/>
        <w:spacing w:before="0"/>
        <w:rPr>
          <w:rFonts w:ascii="Poppins" w:hAnsi="Poppins" w:cs="Poppins"/>
          <w:b/>
          <w:bCs/>
          <w:color w:val="70AD47" w:themeColor="accent6"/>
          <w:sz w:val="24"/>
          <w:szCs w:val="24"/>
        </w:rPr>
      </w:pPr>
      <w:r w:rsidRPr="00805E74">
        <w:rPr>
          <w:rFonts w:ascii="Poppins" w:hAnsi="Poppins" w:cs="Poppins"/>
          <w:b/>
          <w:bCs/>
          <w:color w:val="70AD47" w:themeColor="accent6"/>
          <w:sz w:val="24"/>
          <w:szCs w:val="24"/>
        </w:rPr>
        <w:t>1. Costos Fijos Totales (CF Mensuales):</w:t>
      </w:r>
    </w:p>
    <w:p w14:paraId="151D7906" w14:textId="77777777" w:rsidR="00805E74" w:rsidRPr="00805E74" w:rsidRDefault="00805E74" w:rsidP="00805E74">
      <w:pPr>
        <w:pStyle w:val="NormalWeb"/>
        <w:spacing w:before="0" w:beforeAutospacing="0"/>
        <w:rPr>
          <w:rFonts w:ascii="Poppins" w:hAnsi="Poppins" w:cs="Poppins"/>
        </w:rPr>
      </w:pPr>
      <w:r w:rsidRPr="00805E74">
        <w:rPr>
          <w:rFonts w:ascii="Poppins" w:hAnsi="Poppins" w:cs="Poppins"/>
        </w:rPr>
        <w:t xml:space="preserve">Corresponden al mantenimiento operativo base para mantener la plataforma en la nube: </w:t>
      </w:r>
    </w:p>
    <w:p w14:paraId="26B8A4FC" w14:textId="77777777" w:rsidR="00805E74" w:rsidRPr="00805E74" w:rsidRDefault="00805E74" w:rsidP="00805E74">
      <w:pPr>
        <w:pStyle w:val="NormalWeb"/>
        <w:numPr>
          <w:ilvl w:val="0"/>
          <w:numId w:val="5"/>
        </w:numPr>
        <w:spacing w:before="0" w:beforeAutospacing="0"/>
        <w:rPr>
          <w:rFonts w:ascii="Poppins" w:hAnsi="Poppins" w:cs="Poppins"/>
        </w:rPr>
      </w:pPr>
      <w:r w:rsidRPr="00805E74">
        <w:rPr>
          <w:rFonts w:ascii="Poppins" w:hAnsi="Poppins" w:cs="Poppins"/>
          <w:b/>
          <w:bCs/>
        </w:rPr>
        <w:t>Servidores Cloud e Infraestructura (PostgreSQL / Hosting / VPS):</w:t>
      </w:r>
      <w:r w:rsidRPr="00805E74">
        <w:rPr>
          <w:rFonts w:ascii="Poppins" w:hAnsi="Poppins" w:cs="Poppins"/>
        </w:rPr>
        <w:t xml:space="preserve"> $45.000 ARS </w:t>
      </w:r>
    </w:p>
    <w:p w14:paraId="149E2E2B" w14:textId="77777777" w:rsidR="00805E74" w:rsidRPr="00805E74" w:rsidRDefault="00805E74" w:rsidP="00805E74">
      <w:pPr>
        <w:pStyle w:val="NormalWeb"/>
        <w:numPr>
          <w:ilvl w:val="0"/>
          <w:numId w:val="5"/>
        </w:numPr>
        <w:spacing w:before="0" w:beforeAutospacing="0"/>
        <w:rPr>
          <w:rFonts w:ascii="Poppins" w:hAnsi="Poppins" w:cs="Poppins"/>
        </w:rPr>
      </w:pPr>
      <w:r w:rsidRPr="00805E74">
        <w:rPr>
          <w:rFonts w:ascii="Poppins" w:hAnsi="Poppins" w:cs="Poppins"/>
          <w:b/>
          <w:bCs/>
        </w:rPr>
        <w:t>Servicios de IA / API de procesamiento:</w:t>
      </w:r>
      <w:r w:rsidRPr="00805E74">
        <w:rPr>
          <w:rFonts w:ascii="Poppins" w:hAnsi="Poppins" w:cs="Poppins"/>
        </w:rPr>
        <w:t xml:space="preserve"> $65.000 ARS </w:t>
      </w:r>
    </w:p>
    <w:p w14:paraId="135DDA33" w14:textId="77777777" w:rsidR="00805E74" w:rsidRPr="00805E74" w:rsidRDefault="00805E74" w:rsidP="00805E74">
      <w:pPr>
        <w:pStyle w:val="NormalWeb"/>
        <w:numPr>
          <w:ilvl w:val="0"/>
          <w:numId w:val="5"/>
        </w:numPr>
        <w:spacing w:before="0" w:beforeAutospacing="0"/>
        <w:rPr>
          <w:rFonts w:ascii="Poppins" w:hAnsi="Poppins" w:cs="Poppins"/>
        </w:rPr>
      </w:pPr>
      <w:r w:rsidRPr="00805E74">
        <w:rPr>
          <w:rFonts w:ascii="Poppins" w:hAnsi="Poppins" w:cs="Poppins"/>
          <w:b/>
          <w:bCs/>
        </w:rPr>
        <w:t>Dominio, DNS y Mantenimiento Técnico:</w:t>
      </w:r>
      <w:r w:rsidRPr="00805E74">
        <w:rPr>
          <w:rFonts w:ascii="Poppins" w:hAnsi="Poppins" w:cs="Poppins"/>
        </w:rPr>
        <w:t xml:space="preserve"> $10.000 ARS</w:t>
      </w:r>
    </w:p>
    <w:p w14:paraId="1288A14F" w14:textId="77777777" w:rsidR="00805E74" w:rsidRPr="00805E74" w:rsidRDefault="00805E74" w:rsidP="00805E74">
      <w:pPr>
        <w:pStyle w:val="NormalWeb"/>
        <w:numPr>
          <w:ilvl w:val="0"/>
          <w:numId w:val="5"/>
        </w:numPr>
        <w:spacing w:before="0" w:beforeAutospacing="0"/>
        <w:rPr>
          <w:rFonts w:ascii="Poppins" w:hAnsi="Poppins" w:cs="Poppins"/>
        </w:rPr>
      </w:pPr>
      <w:r w:rsidRPr="00805E74">
        <w:rPr>
          <w:rFonts w:ascii="Poppins" w:hAnsi="Poppins" w:cs="Poppins"/>
          <w:b/>
          <w:bCs/>
        </w:rPr>
        <w:t>Gastos Administrativos / Monotributo:</w:t>
      </w:r>
      <w:r w:rsidRPr="00805E74">
        <w:rPr>
          <w:rFonts w:ascii="Poppins" w:hAnsi="Poppins" w:cs="Poppins"/>
        </w:rPr>
        <w:t xml:space="preserve"> $30.000 ARS</w:t>
      </w:r>
    </w:p>
    <w:p w14:paraId="1EA111D1" w14:textId="77777777" w:rsidR="00805E74" w:rsidRDefault="00805E74" w:rsidP="00805E74">
      <w:pPr>
        <w:pStyle w:val="NormalWeb"/>
        <w:numPr>
          <w:ilvl w:val="0"/>
          <w:numId w:val="5"/>
        </w:numPr>
        <w:spacing w:before="0" w:beforeAutospacing="0"/>
        <w:rPr>
          <w:rFonts w:ascii="Poppins" w:hAnsi="Poppins" w:cs="Poppins"/>
        </w:rPr>
      </w:pPr>
      <w:proofErr w:type="gramStart"/>
      <w:r w:rsidRPr="00805E74">
        <w:rPr>
          <w:rFonts w:ascii="Poppins" w:hAnsi="Poppins" w:cs="Poppins"/>
          <w:b/>
          <w:bCs/>
        </w:rPr>
        <w:t>Total</w:t>
      </w:r>
      <w:proofErr w:type="gramEnd"/>
      <w:r w:rsidRPr="00805E74">
        <w:rPr>
          <w:rFonts w:ascii="Poppins" w:hAnsi="Poppins" w:cs="Poppins"/>
          <w:b/>
          <w:bCs/>
        </w:rPr>
        <w:t xml:space="preserve"> Costos Fijos (CF):</w:t>
      </w:r>
      <w:r w:rsidRPr="00805E74">
        <w:rPr>
          <w:rFonts w:ascii="Poppins" w:hAnsi="Poppins" w:cs="Poppins"/>
        </w:rPr>
        <w:t xml:space="preserve"> $150.000 ARS / mes</w:t>
      </w:r>
    </w:p>
    <w:p w14:paraId="54E4A902" w14:textId="77777777" w:rsidR="00805E74" w:rsidRDefault="00805E74" w:rsidP="00805E74">
      <w:pPr>
        <w:pStyle w:val="NormalWeb"/>
        <w:spacing w:before="0" w:beforeAutospacing="0"/>
        <w:rPr>
          <w:rFonts w:ascii="Poppins" w:hAnsi="Poppins" w:cs="Poppins"/>
        </w:rPr>
      </w:pPr>
    </w:p>
    <w:p w14:paraId="74872C91" w14:textId="77777777" w:rsidR="00805E74" w:rsidRPr="00805E74" w:rsidRDefault="00805E74" w:rsidP="00805E74">
      <w:pPr>
        <w:pStyle w:val="NormalWeb"/>
        <w:spacing w:before="0" w:beforeAutospacing="0"/>
        <w:rPr>
          <w:rFonts w:ascii="Poppins" w:hAnsi="Poppins" w:cs="Poppins"/>
        </w:rPr>
      </w:pPr>
    </w:p>
    <w:p w14:paraId="243548A8" w14:textId="77777777" w:rsidR="00805E74" w:rsidRPr="00805E74" w:rsidRDefault="00805E74" w:rsidP="00805E74">
      <w:pPr>
        <w:pStyle w:val="Ttulo5"/>
        <w:spacing w:before="0"/>
        <w:rPr>
          <w:rFonts w:ascii="Poppins" w:hAnsi="Poppins" w:cs="Poppins"/>
          <w:b/>
          <w:bCs/>
          <w:color w:val="70AD47" w:themeColor="accent6"/>
          <w:sz w:val="24"/>
          <w:szCs w:val="24"/>
        </w:rPr>
      </w:pPr>
      <w:r w:rsidRPr="00805E74">
        <w:rPr>
          <w:rFonts w:ascii="Poppins" w:hAnsi="Poppins" w:cs="Poppins"/>
          <w:b/>
          <w:bCs/>
          <w:color w:val="70AD47" w:themeColor="accent6"/>
          <w:sz w:val="24"/>
          <w:szCs w:val="24"/>
        </w:rPr>
        <w:lastRenderedPageBreak/>
        <w:t>2. Costo Variable Unitario (CVU por Transacción):</w:t>
      </w:r>
    </w:p>
    <w:p w14:paraId="2B3124AE" w14:textId="77777777" w:rsidR="00805E74" w:rsidRPr="00805E74" w:rsidRDefault="00805E74" w:rsidP="00805E74">
      <w:pPr>
        <w:pStyle w:val="NormalWeb"/>
        <w:spacing w:before="0" w:beforeAutospacing="0"/>
        <w:rPr>
          <w:rFonts w:ascii="Poppins" w:hAnsi="Poppins" w:cs="Poppins"/>
        </w:rPr>
      </w:pPr>
      <w:r w:rsidRPr="00805E74">
        <w:rPr>
          <w:rFonts w:ascii="Poppins" w:hAnsi="Poppins" w:cs="Poppins"/>
        </w:rPr>
        <w:t xml:space="preserve">Gastos directos asociados a procesar </w:t>
      </w:r>
      <w:r w:rsidRPr="00805E74">
        <w:rPr>
          <w:rFonts w:ascii="Poppins" w:hAnsi="Poppins" w:cs="Poppins"/>
          <w:b/>
          <w:bCs/>
        </w:rPr>
        <w:t>una venta</w:t>
      </w:r>
      <w:r w:rsidRPr="00805E74">
        <w:rPr>
          <w:rFonts w:ascii="Poppins" w:hAnsi="Poppins" w:cs="Poppins"/>
        </w:rPr>
        <w:t>:</w:t>
      </w:r>
    </w:p>
    <w:p w14:paraId="17590446" w14:textId="77777777" w:rsidR="00805E74" w:rsidRPr="00805E74" w:rsidRDefault="00805E74" w:rsidP="00805E74">
      <w:pPr>
        <w:pStyle w:val="NormalWeb"/>
        <w:numPr>
          <w:ilvl w:val="0"/>
          <w:numId w:val="6"/>
        </w:numPr>
        <w:spacing w:before="0" w:beforeAutospacing="0"/>
        <w:rPr>
          <w:rFonts w:ascii="Poppins" w:hAnsi="Poppins" w:cs="Poppins"/>
        </w:rPr>
      </w:pPr>
      <w:r w:rsidRPr="00805E74">
        <w:rPr>
          <w:rFonts w:ascii="Poppins" w:hAnsi="Poppins" w:cs="Poppins"/>
          <w:b/>
          <w:bCs/>
        </w:rPr>
        <w:t>Comisión de Pasarela de Pago (ej. Mercado Pago / Procesamiento):</w:t>
      </w:r>
      <w:r w:rsidRPr="00805E74">
        <w:rPr>
          <w:rFonts w:ascii="Poppins" w:hAnsi="Poppins" w:cs="Poppins"/>
        </w:rPr>
        <w:t xml:space="preserve"> 6% sobre el ticket total ($360 ARS por transacción).</w:t>
      </w:r>
    </w:p>
    <w:p w14:paraId="4D05BBD5" w14:textId="77777777" w:rsidR="00805E74" w:rsidRPr="00805E74" w:rsidRDefault="00805E74" w:rsidP="00805E74">
      <w:pPr>
        <w:pStyle w:val="NormalWeb"/>
        <w:numPr>
          <w:ilvl w:val="0"/>
          <w:numId w:val="6"/>
        </w:numPr>
        <w:spacing w:before="0" w:beforeAutospacing="0"/>
        <w:rPr>
          <w:rFonts w:ascii="Poppins" w:hAnsi="Poppins" w:cs="Poppins"/>
        </w:rPr>
      </w:pPr>
      <w:r w:rsidRPr="00805E74">
        <w:rPr>
          <w:rFonts w:ascii="Poppins" w:hAnsi="Poppins" w:cs="Poppins"/>
          <w:b/>
          <w:bCs/>
        </w:rPr>
        <w:t>Costos de infraestructura / Cloud proporcionales por transacción:</w:t>
      </w:r>
      <w:r w:rsidRPr="00805E74">
        <w:rPr>
          <w:rFonts w:ascii="Poppins" w:hAnsi="Poppins" w:cs="Poppins"/>
        </w:rPr>
        <w:t xml:space="preserve"> $40 ARS.</w:t>
      </w:r>
    </w:p>
    <w:p w14:paraId="7003C260" w14:textId="77777777" w:rsidR="00805E74" w:rsidRPr="00805E74" w:rsidRDefault="00805E74" w:rsidP="00805E74">
      <w:pPr>
        <w:pStyle w:val="NormalWeb"/>
        <w:numPr>
          <w:ilvl w:val="0"/>
          <w:numId w:val="6"/>
        </w:numPr>
        <w:spacing w:before="0" w:beforeAutospacing="0"/>
        <w:rPr>
          <w:rFonts w:ascii="Poppins" w:hAnsi="Poppins" w:cs="Poppins"/>
        </w:rPr>
      </w:pPr>
      <w:proofErr w:type="gramStart"/>
      <w:r w:rsidRPr="00805E74">
        <w:rPr>
          <w:rFonts w:ascii="Poppins" w:hAnsi="Poppins" w:cs="Poppins"/>
          <w:b/>
          <w:bCs/>
        </w:rPr>
        <w:t>Total</w:t>
      </w:r>
      <w:proofErr w:type="gramEnd"/>
      <w:r w:rsidRPr="00805E74">
        <w:rPr>
          <w:rFonts w:ascii="Poppins" w:hAnsi="Poppins" w:cs="Poppins"/>
          <w:b/>
          <w:bCs/>
        </w:rPr>
        <w:t xml:space="preserve"> Costo Variable Unitario (CVU):</w:t>
      </w:r>
      <w:r w:rsidRPr="00805E74">
        <w:rPr>
          <w:rFonts w:ascii="Poppins" w:hAnsi="Poppins" w:cs="Poppins"/>
        </w:rPr>
        <w:t xml:space="preserve"> </w:t>
      </w:r>
      <w:r w:rsidRPr="00805E74">
        <w:rPr>
          <w:rFonts w:ascii="Poppins" w:hAnsi="Poppins" w:cs="Poppins"/>
          <w:b/>
          <w:bCs/>
        </w:rPr>
        <w:t>$400 ARS por transacción</w:t>
      </w:r>
    </w:p>
    <w:p w14:paraId="1DFBA74F" w14:textId="77777777" w:rsidR="00805E74" w:rsidRDefault="00805E74" w:rsidP="00805E74">
      <w:pPr>
        <w:pStyle w:val="Ttulo5"/>
        <w:spacing w:before="0"/>
        <w:rPr>
          <w:rFonts w:ascii="Poppins" w:hAnsi="Poppins" w:cs="Poppins"/>
          <w:b/>
          <w:bCs/>
          <w:color w:val="70AD47" w:themeColor="accent6"/>
          <w:sz w:val="24"/>
          <w:szCs w:val="24"/>
        </w:rPr>
      </w:pPr>
      <w:r w:rsidRPr="00805E74">
        <w:rPr>
          <w:rFonts w:ascii="Poppins" w:hAnsi="Poppins" w:cs="Poppins"/>
          <w:b/>
          <w:bCs/>
          <w:color w:val="70AD47" w:themeColor="accent6"/>
          <w:sz w:val="24"/>
          <w:szCs w:val="24"/>
        </w:rPr>
        <w:t>3. Aplicación de la Fórmula:</w:t>
      </w:r>
    </w:p>
    <w:p w14:paraId="3102C68A" w14:textId="716FF5F0" w:rsidR="00805E74" w:rsidRPr="00805E74" w:rsidRDefault="00805E74" w:rsidP="00805E74">
      <w:r>
        <w:rPr>
          <w:noProof/>
        </w:rPr>
        <w:drawing>
          <wp:inline distT="0" distB="0" distL="0" distR="0" wp14:anchorId="6F3AF88A" wp14:editId="7B270417">
            <wp:extent cx="5649562" cy="1524000"/>
            <wp:effectExtent l="0" t="0" r="8890" b="0"/>
            <wp:docPr id="107274065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274065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53370" cy="15250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B6E8E7" w14:textId="345B0791" w:rsidR="00805E74" w:rsidRPr="00805E74" w:rsidRDefault="00805E74" w:rsidP="00805E74">
      <w:pPr>
        <w:pStyle w:val="NormalWeb"/>
        <w:spacing w:before="0" w:beforeAutospacing="0"/>
        <w:rPr>
          <w:rFonts w:ascii="Poppins" w:hAnsi="Poppins" w:cs="Poppins"/>
        </w:rPr>
      </w:pPr>
      <w:r w:rsidRPr="00805E74">
        <w:rPr>
          <w:rFonts w:ascii="Poppins" w:hAnsi="Poppins" w:cs="Poppins"/>
          <w:b/>
          <w:bCs/>
        </w:rPr>
        <w:t>Resultado:</w:t>
      </w:r>
      <w:r w:rsidRPr="00805E74">
        <w:rPr>
          <w:rFonts w:ascii="Poppins" w:hAnsi="Poppins" w:cs="Poppins"/>
        </w:rPr>
        <w:t xml:space="preserve"> Se necesitan </w:t>
      </w:r>
      <w:r w:rsidRPr="00805E74">
        <w:rPr>
          <w:rFonts w:ascii="Poppins" w:hAnsi="Poppins" w:cs="Poppins"/>
          <w:b/>
          <w:bCs/>
        </w:rPr>
        <w:t>188 ventas/transacciones mensuales</w:t>
      </w:r>
      <w:r w:rsidR="00F642CE">
        <w:rPr>
          <w:rFonts w:ascii="Poppins" w:hAnsi="Poppins" w:cs="Poppins"/>
        </w:rPr>
        <w:t xml:space="preserve"> </w:t>
      </w:r>
      <w:r w:rsidRPr="00805E74">
        <w:rPr>
          <w:rFonts w:ascii="Poppins" w:hAnsi="Poppins" w:cs="Poppins"/>
        </w:rPr>
        <w:t>para alcanzar el Punto de Equilibrio.</w:t>
      </w:r>
    </w:p>
    <w:p w14:paraId="4C12B30E" w14:textId="77777777" w:rsidR="00F642CE" w:rsidRDefault="001A3399" w:rsidP="00F642CE">
      <w:pPr>
        <w:pStyle w:val="NormalWeb"/>
        <w:spacing w:before="0" w:beforeAutospacing="0"/>
        <w:rPr>
          <w:rFonts w:ascii="Poppins" w:hAnsi="Poppins" w:cs="Poppins"/>
          <w:b/>
          <w:bCs/>
          <w:color w:val="385623" w:themeColor="accent6" w:themeShade="80"/>
          <w:sz w:val="28"/>
          <w:szCs w:val="28"/>
        </w:rPr>
      </w:pPr>
      <w:r w:rsidRPr="00B4663F">
        <w:rPr>
          <w:rFonts w:ascii="Poppins" w:hAnsi="Poppins" w:cs="Poppins"/>
          <w:b/>
          <w:bCs/>
          <w:color w:val="385623" w:themeColor="accent6" w:themeShade="80"/>
          <w:sz w:val="28"/>
          <w:szCs w:val="28"/>
        </w:rPr>
        <w:t>P</w:t>
      </w:r>
      <w:r w:rsidR="00B4663F" w:rsidRPr="00B4663F">
        <w:rPr>
          <w:rFonts w:ascii="Poppins" w:hAnsi="Poppins" w:cs="Poppins"/>
          <w:b/>
          <w:bCs/>
          <w:color w:val="385623" w:themeColor="accent6" w:themeShade="80"/>
          <w:sz w:val="28"/>
          <w:szCs w:val="28"/>
        </w:rPr>
        <w:t>aso</w:t>
      </w:r>
      <w:r w:rsidRPr="00B4663F">
        <w:rPr>
          <w:rFonts w:ascii="Poppins" w:hAnsi="Poppins" w:cs="Poppins"/>
          <w:b/>
          <w:bCs/>
          <w:color w:val="385623" w:themeColor="accent6" w:themeShade="80"/>
          <w:sz w:val="28"/>
          <w:szCs w:val="28"/>
        </w:rPr>
        <w:t xml:space="preserve"> 3: Veredicto financiero</w:t>
      </w:r>
    </w:p>
    <w:p w14:paraId="75F8FE62" w14:textId="62E01C00" w:rsidR="00F642CE" w:rsidRPr="00F642CE" w:rsidRDefault="00F642CE" w:rsidP="00F642CE">
      <w:pPr>
        <w:pStyle w:val="NormalWeb"/>
        <w:spacing w:before="0" w:beforeAutospacing="0"/>
        <w:rPr>
          <w:rFonts w:ascii="Poppins" w:hAnsi="Poppins" w:cs="Poppins"/>
        </w:rPr>
      </w:pPr>
      <w:r w:rsidRPr="00F642CE">
        <w:rPr>
          <w:rFonts w:ascii="Poppins" w:hAnsi="Poppins" w:cs="Poppins"/>
        </w:rPr>
        <w:t xml:space="preserve">Para </w:t>
      </w:r>
      <w:r w:rsidRPr="00F642CE">
        <w:rPr>
          <w:rFonts w:ascii="Poppins" w:hAnsi="Poppins" w:cs="Poppins"/>
        </w:rPr>
        <w:t>cubrir</w:t>
      </w:r>
      <w:r w:rsidRPr="00F642CE">
        <w:rPr>
          <w:rFonts w:ascii="Poppins" w:hAnsi="Poppins" w:cs="Poppins"/>
        </w:rPr>
        <w:t xml:space="preserve"> los costos fijos operativos de Lüp, la plataforma necesita procesar al menos 188 transacciones mensuales (o concretar un volumen total de ventas en la app de $1.128.000 ARS al mes). Esto generará un ingreso por comisiones de $225.600 ARS, cubriendo los $150.000 ARS de costos fijos y los $75.200 ARS de costos variables de procesamiento. </w:t>
      </w:r>
    </w:p>
    <w:p w14:paraId="5F4C9E4D" w14:textId="10744A9F" w:rsidR="001A3399" w:rsidRPr="00F642CE" w:rsidRDefault="00F642CE" w:rsidP="00F642CE">
      <w:pPr>
        <w:pStyle w:val="NormalWeb"/>
        <w:spacing w:before="0" w:beforeAutospacing="0"/>
        <w:rPr>
          <w:rFonts w:ascii="Poppins" w:hAnsi="Poppins" w:cs="Poppins"/>
        </w:rPr>
      </w:pPr>
      <w:r w:rsidRPr="00F642CE">
        <w:rPr>
          <w:rFonts w:ascii="Poppins" w:hAnsi="Poppins" w:cs="Poppins"/>
          <w:b/>
          <w:bCs/>
          <w:color w:val="70AD47" w:themeColor="accent6"/>
        </w:rPr>
        <w:t>Análisis de Factibilidad:</w:t>
      </w:r>
      <w:r w:rsidRPr="00F642CE">
        <w:rPr>
          <w:rFonts w:ascii="Poppins" w:hAnsi="Poppins" w:cs="Poppins"/>
        </w:rPr>
        <w:t xml:space="preserve"> Consideramos que alcanzar 188 ventas al mes durante el primer año es totalmente viable y realista. Esto equivale a procesar aproximadamente 6 a 7 reservas de alimentos por día </w:t>
      </w:r>
      <w:r w:rsidRPr="00F642CE">
        <w:rPr>
          <w:rFonts w:ascii="Poppins" w:hAnsi="Poppins" w:cs="Poppins"/>
        </w:rPr>
        <w:t>distribuidas</w:t>
      </w:r>
      <w:r w:rsidRPr="00F642CE">
        <w:rPr>
          <w:rFonts w:ascii="Poppins" w:hAnsi="Poppins" w:cs="Poppins"/>
        </w:rPr>
        <w:t xml:space="preserve"> entre toda la red de comercios adheridos. Si se logra afiliar un grupo inicial de apenas 5 a 10 comercios (panaderías, rotiserías, verdulerías) que vendan en promedio entre 1 y 2 packs diarios cada uno, la meta de supervivencia financiera se alcanza en los primeros meses de lanzamiento.</w:t>
      </w:r>
    </w:p>
    <w:sectPr w:rsidR="001A3399" w:rsidRPr="00F642CE" w:rsidSect="001A3399">
      <w:pgSz w:w="11906" w:h="16838"/>
      <w:pgMar w:top="1417" w:right="1701" w:bottom="1417" w:left="1701" w:header="709" w:footer="709" w:gutter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Poppins">
    <w:charset w:val="00"/>
    <w:family w:val="auto"/>
    <w:pitch w:val="variable"/>
    <w:sig w:usb0="00008007" w:usb1="00000000" w:usb2="00000000" w:usb3="00000000" w:csb0="0000009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3E814A4"/>
    <w:multiLevelType w:val="multilevel"/>
    <w:tmpl w:val="09508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7B24B9"/>
    <w:multiLevelType w:val="multilevel"/>
    <w:tmpl w:val="07EC4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10495C"/>
    <w:multiLevelType w:val="multilevel"/>
    <w:tmpl w:val="46441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7B6C02"/>
    <w:multiLevelType w:val="multilevel"/>
    <w:tmpl w:val="B4104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BB6C00"/>
    <w:multiLevelType w:val="multilevel"/>
    <w:tmpl w:val="046A9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0BF2FDB"/>
    <w:multiLevelType w:val="multilevel"/>
    <w:tmpl w:val="45740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21951595">
    <w:abstractNumId w:val="1"/>
  </w:num>
  <w:num w:numId="2" w16cid:durableId="848105920">
    <w:abstractNumId w:val="0"/>
  </w:num>
  <w:num w:numId="3" w16cid:durableId="1709256551">
    <w:abstractNumId w:val="3"/>
  </w:num>
  <w:num w:numId="4" w16cid:durableId="2091997212">
    <w:abstractNumId w:val="2"/>
  </w:num>
  <w:num w:numId="5" w16cid:durableId="82532642">
    <w:abstractNumId w:val="5"/>
  </w:num>
  <w:num w:numId="6" w16cid:durableId="108522582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3399"/>
    <w:rsid w:val="001A3399"/>
    <w:rsid w:val="001A79CA"/>
    <w:rsid w:val="00653042"/>
    <w:rsid w:val="00805E74"/>
    <w:rsid w:val="00851309"/>
    <w:rsid w:val="00976D52"/>
    <w:rsid w:val="00A23565"/>
    <w:rsid w:val="00B10D4F"/>
    <w:rsid w:val="00B4663F"/>
    <w:rsid w:val="00F642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29D414"/>
  <w15:chartTrackingRefBased/>
  <w15:docId w15:val="{189C9CBC-2874-432E-BD9D-5A76C163E3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1A339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AR"/>
      <w14:ligatures w14:val="none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A3399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unhideWhenUsed/>
    <w:qFormat/>
    <w:rsid w:val="001A3399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A3399"/>
    <w:rPr>
      <w:rFonts w:ascii="Times New Roman" w:eastAsia="Times New Roman" w:hAnsi="Times New Roman" w:cs="Times New Roman"/>
      <w:b/>
      <w:bCs/>
      <w:kern w:val="36"/>
      <w:sz w:val="48"/>
      <w:szCs w:val="48"/>
      <w:lang w:eastAsia="es-AR"/>
      <w14:ligatures w14:val="none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A3399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rsid w:val="001A3399"/>
    <w:rPr>
      <w:rFonts w:asciiTheme="majorHAnsi" w:eastAsiaTheme="majorEastAsia" w:hAnsiTheme="majorHAnsi" w:cstheme="majorBidi"/>
      <w:color w:val="2F5496" w:themeColor="accent1" w:themeShade="BF"/>
    </w:rPr>
  </w:style>
  <w:style w:type="paragraph" w:styleId="NormalWeb">
    <w:name w:val="Normal (Web)"/>
    <w:basedOn w:val="Normal"/>
    <w:uiPriority w:val="99"/>
    <w:unhideWhenUsed/>
    <w:rsid w:val="001A33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A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51289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041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7326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87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6819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86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3481853">
          <w:blockQuote w:val="1"/>
          <w:marLeft w:val="0"/>
          <w:marRight w:val="0"/>
          <w:marTop w:val="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7199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848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800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4643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887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4632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6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9550246">
          <w:blockQuote w:val="1"/>
          <w:marLeft w:val="0"/>
          <w:marRight w:val="0"/>
          <w:marTop w:val="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0628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2</Pages>
  <Words>363</Words>
  <Characters>1999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2</cp:revision>
  <dcterms:created xsi:type="dcterms:W3CDTF">2026-09-30T13:57:00Z</dcterms:created>
  <dcterms:modified xsi:type="dcterms:W3CDTF">2026-09-30T14:34:00Z</dcterms:modified>
</cp:coreProperties>
</file>