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1A899" w14:textId="564886A3" w:rsidR="00724E6A" w:rsidRDefault="00724E6A" w:rsidP="00724E6A">
      <w:pPr>
        <w:jc w:val="center"/>
      </w:pPr>
      <w:r>
        <w:rPr>
          <w:noProof/>
        </w:rPr>
        <w:drawing>
          <wp:inline distT="0" distB="0" distL="0" distR="0" wp14:anchorId="1D4123D7" wp14:editId="6708C3B3">
            <wp:extent cx="3596640" cy="2022899"/>
            <wp:effectExtent l="0" t="0" r="3810" b="0"/>
            <wp:docPr id="1608148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8769" name="Imagen 16081487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879" cy="20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8E42" w14:textId="77777777" w:rsidR="00724E6A" w:rsidRPr="00724E6A" w:rsidRDefault="00724E6A" w:rsidP="00724E6A">
      <w:pPr>
        <w:jc w:val="center"/>
        <w:rPr>
          <w:rFonts w:ascii="Poppins" w:hAnsi="Poppins" w:cs="Poppins"/>
          <w:b/>
          <w:bCs/>
          <w:sz w:val="32"/>
          <w:szCs w:val="32"/>
        </w:rPr>
      </w:pPr>
      <w:r w:rsidRPr="00724E6A">
        <w:rPr>
          <w:rFonts w:ascii="Poppins" w:hAnsi="Poppins" w:cs="Poppins"/>
          <w:b/>
          <w:bCs/>
          <w:sz w:val="32"/>
          <w:szCs w:val="32"/>
        </w:rPr>
        <w:t>Pasos legales y propiedad intelectual</w:t>
      </w:r>
    </w:p>
    <w:p w14:paraId="11D27E3E" w14:textId="73AB7065" w:rsidR="00724E6A" w:rsidRPr="007D7033" w:rsidRDefault="00724E6A" w:rsidP="00724E6A">
      <w:pPr>
        <w:pStyle w:val="Prrafodelista"/>
        <w:numPr>
          <w:ilvl w:val="0"/>
          <w:numId w:val="2"/>
        </w:numPr>
        <w:rPr>
          <w:rFonts w:ascii="Poppins" w:hAnsi="Poppins" w:cs="Poppins"/>
          <w:b/>
          <w:bCs/>
          <w:sz w:val="24"/>
          <w:szCs w:val="24"/>
        </w:rPr>
      </w:pPr>
      <w:r w:rsidRPr="007D7033">
        <w:rPr>
          <w:rFonts w:ascii="Poppins" w:hAnsi="Poppins" w:cs="Poppins"/>
          <w:b/>
          <w:bCs/>
          <w:sz w:val="24"/>
          <w:szCs w:val="24"/>
        </w:rPr>
        <w:t>Registro de la marca comercial</w:t>
      </w:r>
    </w:p>
    <w:p w14:paraId="2C5E5332" w14:textId="31CB9168" w:rsidR="00724E6A" w:rsidRPr="007D7033" w:rsidRDefault="00724E6A" w:rsidP="00724E6A">
      <w:pPr>
        <w:ind w:left="360"/>
        <w:rPr>
          <w:rFonts w:ascii="Poppins" w:hAnsi="Poppins" w:cs="Poppins"/>
        </w:rPr>
      </w:pPr>
      <w:r w:rsidRPr="007D7033">
        <w:rPr>
          <w:rFonts w:ascii="Poppins" w:hAnsi="Poppins" w:cs="Poppins"/>
        </w:rPr>
        <w:t>Lo básico para nosotras es formalizar nuestra marca de forma que terceros no roben nuestro nombre comercial e identidad. Para lograr dicho objetivo, hay ciertos puntos que se deben analizar:</w:t>
      </w:r>
    </w:p>
    <w:p w14:paraId="3372C9D7" w14:textId="77777777" w:rsidR="00724E6A" w:rsidRPr="007D7033" w:rsidRDefault="00724E6A" w:rsidP="00724E6A">
      <w:pPr>
        <w:pStyle w:val="Prrafodelista"/>
        <w:numPr>
          <w:ilvl w:val="0"/>
          <w:numId w:val="3"/>
        </w:numPr>
        <w:rPr>
          <w:rFonts w:ascii="Poppins" w:hAnsi="Poppins" w:cs="Poppins"/>
        </w:rPr>
      </w:pPr>
      <w:r w:rsidRPr="007D7033">
        <w:rPr>
          <w:rFonts w:ascii="Poppins" w:hAnsi="Poppins" w:cs="Poppins"/>
          <w:b/>
          <w:bCs/>
        </w:rPr>
        <w:t>Organismo:</w:t>
      </w:r>
      <w:r w:rsidRPr="007D7033">
        <w:rPr>
          <w:rFonts w:ascii="Poppins" w:hAnsi="Poppins" w:cs="Poppins"/>
        </w:rPr>
        <w:t xml:space="preserve"> </w:t>
      </w:r>
      <w:r w:rsidRPr="007D7033">
        <w:rPr>
          <w:rFonts w:ascii="Poppins" w:hAnsi="Poppins" w:cs="Poppins"/>
        </w:rPr>
        <w:t>Instituto Nacional de la Propiedad Industrial (INPI)</w:t>
      </w:r>
      <w:r w:rsidRPr="007D7033">
        <w:rPr>
          <w:rFonts w:ascii="Poppins" w:hAnsi="Poppins" w:cs="Poppins"/>
        </w:rPr>
        <w:t>.</w:t>
      </w:r>
    </w:p>
    <w:p w14:paraId="3AFA87BE" w14:textId="5AA665B7" w:rsidR="00724E6A" w:rsidRPr="007D7033" w:rsidRDefault="00724E6A" w:rsidP="00724E6A">
      <w:pPr>
        <w:pStyle w:val="Prrafodelista"/>
        <w:numPr>
          <w:ilvl w:val="0"/>
          <w:numId w:val="3"/>
        </w:numPr>
        <w:rPr>
          <w:rFonts w:ascii="Poppins" w:hAnsi="Poppins" w:cs="Poppins"/>
        </w:rPr>
      </w:pPr>
      <w:r w:rsidRPr="007D7033">
        <w:rPr>
          <w:rFonts w:ascii="Poppins" w:hAnsi="Poppins" w:cs="Poppins"/>
          <w:b/>
          <w:bCs/>
        </w:rPr>
        <w:t>Objeto:</w:t>
      </w:r>
      <w:r w:rsidRPr="007D7033">
        <w:rPr>
          <w:rFonts w:ascii="Poppins" w:hAnsi="Poppins" w:cs="Poppins"/>
        </w:rPr>
        <w:t xml:space="preserve"> Proteger el nombre comercial "Lüp" y su identidad visual para evitar que terceros utilicen la misma marca.</w:t>
      </w:r>
    </w:p>
    <w:p w14:paraId="083E54CA" w14:textId="3C98F692" w:rsidR="00724E6A" w:rsidRPr="007D7033" w:rsidRDefault="00724E6A" w:rsidP="00724E6A">
      <w:pPr>
        <w:pStyle w:val="Prrafodelista"/>
        <w:numPr>
          <w:ilvl w:val="0"/>
          <w:numId w:val="3"/>
        </w:numPr>
        <w:rPr>
          <w:rFonts w:ascii="Poppins" w:hAnsi="Poppins" w:cs="Poppins"/>
        </w:rPr>
      </w:pPr>
      <w:r w:rsidRPr="007D7033">
        <w:rPr>
          <w:rFonts w:ascii="Poppins" w:hAnsi="Poppins" w:cs="Poppins"/>
          <w:b/>
          <w:bCs/>
        </w:rPr>
        <w:t>Clases de la Clasificación Internacional de Niza aplicables:</w:t>
      </w:r>
    </w:p>
    <w:p w14:paraId="0D370C1E" w14:textId="77777777" w:rsidR="00724E6A" w:rsidRPr="007D7033" w:rsidRDefault="00724E6A" w:rsidP="00724E6A">
      <w:pPr>
        <w:pStyle w:val="Prrafodelista"/>
        <w:numPr>
          <w:ilvl w:val="1"/>
          <w:numId w:val="3"/>
        </w:numPr>
        <w:rPr>
          <w:rFonts w:ascii="Poppins" w:hAnsi="Poppins" w:cs="Poppins"/>
        </w:rPr>
      </w:pPr>
      <w:r w:rsidRPr="007D7033">
        <w:rPr>
          <w:rFonts w:ascii="Poppins" w:hAnsi="Poppins" w:cs="Poppins"/>
          <w:b/>
          <w:bCs/>
        </w:rPr>
        <w:t>Clase 9:</w:t>
      </w:r>
      <w:r w:rsidRPr="007D7033">
        <w:rPr>
          <w:rFonts w:ascii="Poppins" w:hAnsi="Poppins" w:cs="Poppins"/>
        </w:rPr>
        <w:t xml:space="preserve"> Aplicaciones móviles y software descargable.</w:t>
      </w:r>
    </w:p>
    <w:p w14:paraId="57764B27" w14:textId="77777777" w:rsidR="00724E6A" w:rsidRPr="007D7033" w:rsidRDefault="00724E6A" w:rsidP="00724E6A">
      <w:pPr>
        <w:pStyle w:val="Prrafodelista"/>
        <w:numPr>
          <w:ilvl w:val="1"/>
          <w:numId w:val="3"/>
        </w:numPr>
        <w:rPr>
          <w:rFonts w:ascii="Poppins" w:hAnsi="Poppins" w:cs="Poppins"/>
        </w:rPr>
      </w:pPr>
      <w:r w:rsidRPr="007D7033">
        <w:rPr>
          <w:rFonts w:ascii="Poppins" w:hAnsi="Poppins" w:cs="Poppins"/>
          <w:b/>
          <w:bCs/>
        </w:rPr>
        <w:t>Clase 35:</w:t>
      </w:r>
      <w:r w:rsidRPr="007D7033">
        <w:rPr>
          <w:rFonts w:ascii="Poppins" w:hAnsi="Poppins" w:cs="Poppins"/>
        </w:rPr>
        <w:t xml:space="preserve"> Servicios de intermediación comercial, gestión de negocios gastronómicos y plataformas para conectar compradores y vendedores.</w:t>
      </w:r>
    </w:p>
    <w:p w14:paraId="6873E5B2" w14:textId="4FB52E8C" w:rsidR="00724E6A" w:rsidRPr="007D7033" w:rsidRDefault="00724E6A" w:rsidP="007D7033">
      <w:pPr>
        <w:pStyle w:val="Prrafodelista"/>
        <w:numPr>
          <w:ilvl w:val="1"/>
          <w:numId w:val="3"/>
        </w:numPr>
        <w:rPr>
          <w:rFonts w:ascii="Poppins" w:hAnsi="Poppins" w:cs="Poppins"/>
        </w:rPr>
      </w:pPr>
      <w:r w:rsidRPr="007D7033">
        <w:rPr>
          <w:rFonts w:ascii="Poppins" w:hAnsi="Poppins" w:cs="Poppins"/>
          <w:b/>
          <w:bCs/>
        </w:rPr>
        <w:t>Clase 45:</w:t>
      </w:r>
      <w:r w:rsidRPr="007D7033">
        <w:rPr>
          <w:rFonts w:ascii="Poppins" w:hAnsi="Poppins" w:cs="Poppins"/>
        </w:rPr>
        <w:t xml:space="preserve"> Servicios sociales de caridad y organización de donaciones</w:t>
      </w:r>
      <w:r w:rsidR="007D7033">
        <w:rPr>
          <w:rFonts w:ascii="Poppins" w:hAnsi="Poppins" w:cs="Poppins"/>
        </w:rPr>
        <w:t>.</w:t>
      </w:r>
    </w:p>
    <w:p w14:paraId="27B391AF" w14:textId="1576FED4" w:rsidR="007D7033" w:rsidRPr="007D7033" w:rsidRDefault="007D7033" w:rsidP="007D7033">
      <w:pPr>
        <w:pStyle w:val="Prrafodelista"/>
        <w:numPr>
          <w:ilvl w:val="0"/>
          <w:numId w:val="7"/>
        </w:numPr>
        <w:rPr>
          <w:rFonts w:ascii="Poppins" w:hAnsi="Poppins" w:cs="Poppins"/>
          <w:b/>
          <w:bCs/>
        </w:rPr>
      </w:pPr>
      <w:r w:rsidRPr="007D7033">
        <w:rPr>
          <w:rFonts w:ascii="Poppins" w:hAnsi="Poppins" w:cs="Poppins"/>
          <w:b/>
          <w:bCs/>
        </w:rPr>
        <w:t>Procedimiento:</w:t>
      </w:r>
    </w:p>
    <w:p w14:paraId="413FD5D9" w14:textId="7DC9F2D4" w:rsidR="00724E6A" w:rsidRPr="007D7033" w:rsidRDefault="00724E6A" w:rsidP="00724E6A">
      <w:pPr>
        <w:pStyle w:val="NormalWeb"/>
        <w:numPr>
          <w:ilvl w:val="0"/>
          <w:numId w:val="5"/>
        </w:numPr>
        <w:rPr>
          <w:rFonts w:ascii="Poppins" w:hAnsi="Poppins" w:cs="Poppins"/>
          <w:sz w:val="22"/>
          <w:szCs w:val="22"/>
        </w:rPr>
      </w:pPr>
      <w:r w:rsidRPr="007D7033">
        <w:rPr>
          <w:rFonts w:ascii="Poppins" w:hAnsi="Poppins" w:cs="Poppins"/>
          <w:sz w:val="22"/>
          <w:szCs w:val="22"/>
        </w:rPr>
        <w:t>Realizar u</w:t>
      </w:r>
      <w:r w:rsidRPr="007D7033">
        <w:rPr>
          <w:rFonts w:ascii="Poppins" w:hAnsi="Poppins" w:cs="Poppins"/>
          <w:sz w:val="22"/>
          <w:szCs w:val="22"/>
        </w:rPr>
        <w:t>n</w:t>
      </w:r>
      <w:r w:rsidRPr="007D7033">
        <w:rPr>
          <w:rFonts w:ascii="Poppins" w:hAnsi="Poppins" w:cs="Poppins"/>
          <w:sz w:val="22"/>
          <w:szCs w:val="22"/>
        </w:rPr>
        <w:t xml:space="preserve">a </w:t>
      </w:r>
      <w:r w:rsidR="007D7033" w:rsidRPr="007D7033">
        <w:rPr>
          <w:rFonts w:ascii="Poppins" w:hAnsi="Poppins" w:cs="Poppins"/>
          <w:sz w:val="22"/>
          <w:szCs w:val="22"/>
        </w:rPr>
        <w:t>“</w:t>
      </w:r>
      <w:r w:rsidRPr="007D7033">
        <w:rPr>
          <w:rFonts w:ascii="Poppins" w:hAnsi="Poppins" w:cs="Poppins"/>
          <w:sz w:val="22"/>
          <w:szCs w:val="22"/>
        </w:rPr>
        <w:t>Búsqueda de Antecedentes Marcarios</w:t>
      </w:r>
      <w:r w:rsidRPr="007D7033">
        <w:rPr>
          <w:rFonts w:ascii="Poppins" w:hAnsi="Poppins" w:cs="Poppins"/>
          <w:sz w:val="22"/>
          <w:szCs w:val="22"/>
        </w:rPr>
        <w:t>”</w:t>
      </w:r>
      <w:r w:rsidRPr="007D7033">
        <w:rPr>
          <w:rFonts w:ascii="Poppins" w:hAnsi="Poppins" w:cs="Poppins"/>
          <w:sz w:val="22"/>
          <w:szCs w:val="22"/>
        </w:rPr>
        <w:t xml:space="preserve"> en el portal del INPI para verificar que "Lüp" no esté registrado previamente en dichas clases.</w:t>
      </w:r>
    </w:p>
    <w:p w14:paraId="48FBCD28" w14:textId="77777777" w:rsidR="00724E6A" w:rsidRPr="007D7033" w:rsidRDefault="00724E6A" w:rsidP="00724E6A">
      <w:pPr>
        <w:pStyle w:val="NormalWeb"/>
        <w:numPr>
          <w:ilvl w:val="0"/>
          <w:numId w:val="5"/>
        </w:numPr>
        <w:rPr>
          <w:rFonts w:ascii="Poppins" w:hAnsi="Poppins" w:cs="Poppins"/>
          <w:sz w:val="22"/>
          <w:szCs w:val="22"/>
        </w:rPr>
      </w:pPr>
      <w:r w:rsidRPr="007D7033">
        <w:rPr>
          <w:rFonts w:ascii="Poppins" w:hAnsi="Poppins" w:cs="Poppins"/>
          <w:sz w:val="22"/>
          <w:szCs w:val="22"/>
        </w:rPr>
        <w:t>Completar la solicitud web mediante Clave Fiscal AFIP/ARCA en la plataforma del INPI.</w:t>
      </w:r>
    </w:p>
    <w:p w14:paraId="7EFA63E0" w14:textId="064F6911" w:rsidR="00724E6A" w:rsidRPr="007D7033" w:rsidRDefault="00724E6A" w:rsidP="00724E6A">
      <w:pPr>
        <w:pStyle w:val="NormalWeb"/>
        <w:numPr>
          <w:ilvl w:val="0"/>
          <w:numId w:val="5"/>
        </w:numPr>
        <w:rPr>
          <w:rFonts w:ascii="Poppins" w:hAnsi="Poppins" w:cs="Poppins"/>
          <w:sz w:val="22"/>
          <w:szCs w:val="22"/>
        </w:rPr>
      </w:pPr>
      <w:r w:rsidRPr="007D7033">
        <w:rPr>
          <w:rFonts w:ascii="Poppins" w:hAnsi="Poppins" w:cs="Poppins"/>
          <w:sz w:val="22"/>
          <w:szCs w:val="22"/>
        </w:rPr>
        <w:t xml:space="preserve">Adjuntar el logotipo en formato digital y </w:t>
      </w:r>
      <w:r w:rsidRPr="007D7033">
        <w:rPr>
          <w:rFonts w:ascii="Poppins" w:hAnsi="Poppins" w:cs="Poppins"/>
          <w:sz w:val="22"/>
          <w:szCs w:val="22"/>
        </w:rPr>
        <w:t>pagar</w:t>
      </w:r>
      <w:r w:rsidRPr="007D7033">
        <w:rPr>
          <w:rFonts w:ascii="Poppins" w:hAnsi="Poppins" w:cs="Poppins"/>
          <w:sz w:val="22"/>
          <w:szCs w:val="22"/>
        </w:rPr>
        <w:t xml:space="preserve"> el arancel correspondiente.</w:t>
      </w:r>
    </w:p>
    <w:p w14:paraId="66D67B3D" w14:textId="77777777" w:rsidR="00724E6A" w:rsidRDefault="00724E6A" w:rsidP="00724E6A">
      <w:pPr>
        <w:pStyle w:val="NormalWeb"/>
        <w:numPr>
          <w:ilvl w:val="0"/>
          <w:numId w:val="5"/>
        </w:numPr>
        <w:rPr>
          <w:rFonts w:ascii="Poppins" w:hAnsi="Poppins" w:cs="Poppins"/>
          <w:sz w:val="22"/>
          <w:szCs w:val="22"/>
        </w:rPr>
      </w:pPr>
      <w:r w:rsidRPr="007D7033">
        <w:rPr>
          <w:rFonts w:ascii="Poppins" w:hAnsi="Poppins" w:cs="Poppins"/>
          <w:sz w:val="22"/>
          <w:szCs w:val="22"/>
        </w:rPr>
        <w:t>La marca pasa por examen de forma, publicación en el Boletín de Marcas (para posibles oposiciones de terceros) y concesión del título (validez por 10 años renovables).</w:t>
      </w:r>
    </w:p>
    <w:p w14:paraId="49AA588E" w14:textId="77777777" w:rsidR="007D7033" w:rsidRDefault="007D7033" w:rsidP="007D7033">
      <w:pPr>
        <w:pStyle w:val="NormalWeb"/>
        <w:rPr>
          <w:rFonts w:ascii="Poppins" w:hAnsi="Poppins" w:cs="Poppins"/>
          <w:sz w:val="22"/>
          <w:szCs w:val="22"/>
        </w:rPr>
      </w:pPr>
    </w:p>
    <w:p w14:paraId="42C5C1CF" w14:textId="7E6F23F5" w:rsidR="007D7033" w:rsidRPr="007D7033" w:rsidRDefault="007D7033" w:rsidP="007D7033">
      <w:pPr>
        <w:pStyle w:val="NormalWeb"/>
        <w:numPr>
          <w:ilvl w:val="0"/>
          <w:numId w:val="2"/>
        </w:numPr>
        <w:rPr>
          <w:rFonts w:ascii="Poppins" w:hAnsi="Poppins" w:cs="Poppins"/>
          <w:b/>
          <w:bCs/>
        </w:rPr>
      </w:pPr>
      <w:r w:rsidRPr="007D7033">
        <w:rPr>
          <w:rFonts w:ascii="Poppins" w:hAnsi="Poppins" w:cs="Poppins"/>
          <w:b/>
          <w:bCs/>
        </w:rPr>
        <w:lastRenderedPageBreak/>
        <w:t>Registro de Derecho de Autor del Software (DNDA)</w:t>
      </w:r>
    </w:p>
    <w:p w14:paraId="3645D64D" w14:textId="77777777" w:rsidR="007D7033" w:rsidRPr="007D7033" w:rsidRDefault="007D7033" w:rsidP="007D70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Organismo:</w:t>
      </w: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Dirección Nacional del Derecho de Autor (DNDA).</w:t>
      </w:r>
    </w:p>
    <w:p w14:paraId="303B197F" w14:textId="77777777" w:rsidR="007D7033" w:rsidRPr="007D7033" w:rsidRDefault="007D7033" w:rsidP="007D70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Objeto:</w:t>
      </w: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Proteger el código fuente desarrollado en Python/Django, la aplicación Android, las bases de datos y el diseño de la interfaz gráfica (UI).</w:t>
      </w:r>
    </w:p>
    <w:p w14:paraId="664DE896" w14:textId="77777777" w:rsidR="007D7033" w:rsidRPr="007D7033" w:rsidRDefault="007D7033" w:rsidP="007D70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Procedimiento:</w:t>
      </w:r>
    </w:p>
    <w:p w14:paraId="55E0BF52" w14:textId="77777777" w:rsidR="007D7033" w:rsidRPr="007D7033" w:rsidRDefault="007D7033" w:rsidP="007D70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Ingresar a la plataforma de Trámites a Distancia (TAD).</w:t>
      </w:r>
    </w:p>
    <w:p w14:paraId="2A189E28" w14:textId="77777777" w:rsidR="007D7033" w:rsidRPr="007D7033" w:rsidRDefault="007D7033" w:rsidP="007D70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Iniciar el trámite "Registro de Software - Obra Inédita".</w:t>
      </w:r>
    </w:p>
    <w:p w14:paraId="0D78378E" w14:textId="77777777" w:rsidR="007D7033" w:rsidRPr="007D7033" w:rsidRDefault="007D7033" w:rsidP="007D70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Subir en un archivo comprimido resguardado la documentación técnica, manuales y extractos del código fuente.</w:t>
      </w:r>
    </w:p>
    <w:p w14:paraId="57F7FFF3" w14:textId="77777777" w:rsidR="007D7033" w:rsidRPr="007D7033" w:rsidRDefault="007D7033" w:rsidP="007D70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Abonar las tasas oficiales de depósito en custodia. Este registro otorga la titularidad legal de las 3 socias sobre la autoría del código informático.</w:t>
      </w:r>
    </w:p>
    <w:p w14:paraId="6AB3AE77" w14:textId="5576A786" w:rsidR="007D7033" w:rsidRPr="007D7033" w:rsidRDefault="007D7033" w:rsidP="007D7033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sz w:val="24"/>
          <w:szCs w:val="24"/>
          <w:lang w:eastAsia="es-AR"/>
          <w14:ligatures w14:val="none"/>
        </w:rPr>
        <w:t>Marco Legal Normativo por Tipo de Usuario y Operativa</w:t>
      </w:r>
    </w:p>
    <w:p w14:paraId="0A390179" w14:textId="5EB9808A" w:rsidR="007D7033" w:rsidRPr="007D7033" w:rsidRDefault="007D7033" w:rsidP="007D7033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Como habrá interacción entre </w:t>
      </w: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Compradores, Vendedores (Locales) y Caridad (Organizaciones), la empresa debe cumplir con cuatro marcos legales en Argentina:</w:t>
      </w:r>
    </w:p>
    <w:p w14:paraId="47FA2432" w14:textId="4413E72E" w:rsidR="007D7033" w:rsidRPr="007D7033" w:rsidRDefault="007D7033" w:rsidP="007D703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</w:t>
      </w: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Rol "Vendedor (Local)" y "Caridad": Ley Donal y Código Alimentario</w:t>
      </w:r>
    </w:p>
    <w:p w14:paraId="46ACD055" w14:textId="77777777" w:rsidR="00930C11" w:rsidRDefault="007D7033" w:rsidP="007D70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 xml:space="preserve">Ley </w:t>
      </w:r>
      <w:proofErr w:type="spellStart"/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N°</w:t>
      </w:r>
      <w:proofErr w:type="spellEnd"/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 xml:space="preserve"> 25.989</w:t>
      </w: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(Ley Donal - Régimen Especial para la Donación de Alimentos):</w:t>
      </w:r>
    </w:p>
    <w:p w14:paraId="624B7691" w14:textId="2DAC5104" w:rsidR="007D7033" w:rsidRPr="007D7033" w:rsidRDefault="007D7033" w:rsidP="00930C1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Regula la donación de productos alimenticios en buen estado. Exime de responsabilidad civil/penal a los locales donantes y a la plataforma una vez entregados los alimentos a las organizaciones de caridad, siempre que el alimento cumpla con las exigencias del Código Alimentario Argentino al momento de la entrega.</w:t>
      </w:r>
    </w:p>
    <w:p w14:paraId="041081CE" w14:textId="77777777" w:rsidR="007D7033" w:rsidRPr="007D7033" w:rsidRDefault="007D7033" w:rsidP="007D70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Seguridad e Higiene Alimentaria</w:t>
      </w: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(ANMAT / Código Alimentario Argentino):</w:t>
      </w:r>
    </w:p>
    <w:p w14:paraId="0850693F" w14:textId="77777777" w:rsidR="007D7033" w:rsidRDefault="007D7033" w:rsidP="007D703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Los Términos y Condiciones de Lüp deben establecer explícitamente que la responsabilidad técnica sobre la aptitud del alimento (fechas de vencimiento, conservación de cadena de frío y rotulado) recae 100% sobre el Local Vendedor.</w:t>
      </w:r>
    </w:p>
    <w:p w14:paraId="28414F7E" w14:textId="77777777" w:rsidR="007D7033" w:rsidRDefault="007D7033" w:rsidP="007D7033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</w:p>
    <w:p w14:paraId="6DF63AFE" w14:textId="77777777" w:rsidR="007D7033" w:rsidRPr="007D7033" w:rsidRDefault="007D7033" w:rsidP="007D7033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</w:p>
    <w:p w14:paraId="22E81A22" w14:textId="534729D6" w:rsidR="007D7033" w:rsidRPr="007D7033" w:rsidRDefault="007D7033" w:rsidP="007D703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Rol "Comprador": Defensa del Consumidor</w:t>
      </w:r>
    </w:p>
    <w:p w14:paraId="7792818A" w14:textId="77777777" w:rsidR="007D7033" w:rsidRPr="007D7033" w:rsidRDefault="007D7033" w:rsidP="007D70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 xml:space="preserve">Ley </w:t>
      </w:r>
      <w:proofErr w:type="spellStart"/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N°</w:t>
      </w:r>
      <w:proofErr w:type="spellEnd"/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 xml:space="preserve"> 24.240</w:t>
      </w: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(Defensa del Consumidor):</w:t>
      </w:r>
    </w:p>
    <w:p w14:paraId="65036DCA" w14:textId="77777777" w:rsidR="007D7033" w:rsidRDefault="007D7033" w:rsidP="007D703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Aplica para las ventas a menor precio. La app debe incluir información clara sobre los productos, precios finales, políticas de cancelación o devoluciones si el paquete no coincide con lo ofrecido.</w:t>
      </w:r>
    </w:p>
    <w:p w14:paraId="6C84CCC7" w14:textId="772A261B" w:rsidR="007D7033" w:rsidRPr="007D7033" w:rsidRDefault="007D7033" w:rsidP="007D703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Todos los Usuarios: Protección de Datos Personales</w:t>
      </w:r>
    </w:p>
    <w:p w14:paraId="31997684" w14:textId="77777777" w:rsidR="007D7033" w:rsidRPr="007D7033" w:rsidRDefault="007D7033" w:rsidP="007D70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 xml:space="preserve">Ley </w:t>
      </w:r>
      <w:proofErr w:type="spellStart"/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N°</w:t>
      </w:r>
      <w:proofErr w:type="spellEnd"/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 xml:space="preserve"> 25.326</w:t>
      </w: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 (Protección de Datos Personales):</w:t>
      </w:r>
    </w:p>
    <w:p w14:paraId="67648470" w14:textId="77777777" w:rsidR="007D7033" w:rsidRPr="007D7033" w:rsidRDefault="007D7033" w:rsidP="007D703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Obliga a la plataforma a registrar las bases de datos de usuarios (Compradores, Locales y Fundaciones) ante la Agencia de Acceso a la Información Pública (AAIP).</w:t>
      </w:r>
    </w:p>
    <w:p w14:paraId="0D6F0E73" w14:textId="18D217C6" w:rsidR="007D7033" w:rsidRDefault="00930C11" w:rsidP="007D703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Debemos </w:t>
      </w:r>
      <w:r w:rsidR="007D7033"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redactar Políticas de Privacidad que aclaren cómo se custodian los datos de registro, ubicación y pagos.</w:t>
      </w:r>
    </w:p>
    <w:p w14:paraId="3A98677B" w14:textId="2CCAECE0" w:rsidR="007D7033" w:rsidRPr="007D7033" w:rsidRDefault="007D7033" w:rsidP="007D7033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kern w:val="0"/>
          <w:sz w:val="24"/>
          <w:szCs w:val="24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sz w:val="24"/>
          <w:szCs w:val="24"/>
          <w:lang w:eastAsia="es-AR"/>
          <w14:ligatures w14:val="none"/>
        </w:rPr>
        <w:t>Formalización Societaria y Fiscal de la Agencia/Empresa</w:t>
      </w:r>
    </w:p>
    <w:p w14:paraId="03C6BF24" w14:textId="77777777" w:rsidR="007D7033" w:rsidRPr="007D7033" w:rsidRDefault="007D7033" w:rsidP="007D70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Constitución de la Sociedad:</w:t>
      </w:r>
    </w:p>
    <w:p w14:paraId="7A9F794E" w14:textId="78F290AC" w:rsidR="007D7033" w:rsidRPr="007D7033" w:rsidRDefault="007D7033" w:rsidP="007D70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Conformación de una S.A.S. (Sociedad por Acciones Simplificada) entre </w:t>
      </w:r>
      <w:r w:rsidR="00930C11">
        <w:rPr>
          <w:rFonts w:ascii="Poppins" w:eastAsia="Times New Roman" w:hAnsi="Poppins" w:cs="Poppins"/>
          <w:kern w:val="0"/>
          <w:lang w:eastAsia="es-AR"/>
          <w14:ligatures w14:val="none"/>
        </w:rPr>
        <w:t xml:space="preserve">nosotras (las tres socias) </w:t>
      </w: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para delimitar las responsabilidades patrimoniales y firmar convenios comerciales con los locales y fundaciones.</w:t>
      </w:r>
    </w:p>
    <w:p w14:paraId="52FD8C23" w14:textId="77777777" w:rsidR="007D7033" w:rsidRPr="007D7033" w:rsidRDefault="007D7033" w:rsidP="007D70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b/>
          <w:bCs/>
          <w:kern w:val="0"/>
          <w:lang w:eastAsia="es-AR"/>
          <w14:ligatures w14:val="none"/>
        </w:rPr>
        <w:t>Inscripción Fiscal (AFIP / ARCA y Rentas Provinciales):</w:t>
      </w:r>
    </w:p>
    <w:p w14:paraId="63F5FCA5" w14:textId="77777777" w:rsidR="007D7033" w:rsidRPr="007D7033" w:rsidRDefault="007D7033" w:rsidP="007D70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lang w:eastAsia="es-AR"/>
          <w14:ligatures w14:val="none"/>
        </w:rPr>
      </w:pPr>
      <w:r w:rsidRPr="007D7033">
        <w:rPr>
          <w:rFonts w:ascii="Poppins" w:eastAsia="Times New Roman" w:hAnsi="Poppins" w:cs="Poppins"/>
          <w:kern w:val="0"/>
          <w:lang w:eastAsia="es-AR"/>
          <w14:ligatures w14:val="none"/>
        </w:rPr>
        <w:t>Alta de la sociedad en CUIT, IVA Exento/Inscripto según corresponda e Ingresos Brutos (Convenio Multilateral para comercialización digital en múltiples provincias).</w:t>
      </w:r>
    </w:p>
    <w:p w14:paraId="4B50C30D" w14:textId="77777777" w:rsidR="007D7033" w:rsidRPr="007D7033" w:rsidRDefault="007D7033" w:rsidP="007D7033">
      <w:pPr>
        <w:pStyle w:val="NormalWeb"/>
        <w:ind w:left="360"/>
        <w:rPr>
          <w:rFonts w:ascii="Poppins" w:hAnsi="Poppins" w:cs="Poppins"/>
          <w:sz w:val="22"/>
          <w:szCs w:val="22"/>
        </w:rPr>
      </w:pPr>
    </w:p>
    <w:p w14:paraId="079CFDCB" w14:textId="697ED6B1" w:rsidR="00724E6A" w:rsidRPr="00724E6A" w:rsidRDefault="00724E6A" w:rsidP="00724E6A">
      <w:pPr>
        <w:rPr>
          <w:rFonts w:ascii="Poppins" w:hAnsi="Poppins" w:cs="Poppins"/>
          <w:sz w:val="24"/>
          <w:szCs w:val="24"/>
        </w:rPr>
      </w:pPr>
    </w:p>
    <w:sectPr w:rsidR="00724E6A" w:rsidRPr="00724E6A" w:rsidSect="00724E6A">
      <w:pgSz w:w="11906" w:h="16838"/>
      <w:pgMar w:top="1417" w:right="1701" w:bottom="141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84352"/>
    <w:multiLevelType w:val="hybridMultilevel"/>
    <w:tmpl w:val="E83244B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1244E4D"/>
    <w:multiLevelType w:val="multilevel"/>
    <w:tmpl w:val="314C83B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F7769"/>
    <w:multiLevelType w:val="hybridMultilevel"/>
    <w:tmpl w:val="AE22E3D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B681D7A"/>
    <w:multiLevelType w:val="hybridMultilevel"/>
    <w:tmpl w:val="5C324F3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D83155"/>
    <w:multiLevelType w:val="multilevel"/>
    <w:tmpl w:val="86B2024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C16BA"/>
    <w:multiLevelType w:val="multilevel"/>
    <w:tmpl w:val="D5E8A24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E77EE"/>
    <w:multiLevelType w:val="multilevel"/>
    <w:tmpl w:val="534A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B68A0"/>
    <w:multiLevelType w:val="multilevel"/>
    <w:tmpl w:val="244E3C5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41A4A"/>
    <w:multiLevelType w:val="hybridMultilevel"/>
    <w:tmpl w:val="D5E8A244"/>
    <w:lvl w:ilvl="0" w:tplc="2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2ED054E"/>
    <w:multiLevelType w:val="multilevel"/>
    <w:tmpl w:val="43D266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34282"/>
    <w:multiLevelType w:val="multilevel"/>
    <w:tmpl w:val="6682F70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15029"/>
    <w:multiLevelType w:val="hybridMultilevel"/>
    <w:tmpl w:val="82381D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A02AC3"/>
    <w:multiLevelType w:val="multilevel"/>
    <w:tmpl w:val="81D8BE5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73D57D9C"/>
    <w:multiLevelType w:val="multilevel"/>
    <w:tmpl w:val="23A6097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4" w15:restartNumberingAfterBreak="0">
    <w:nsid w:val="74FF3861"/>
    <w:multiLevelType w:val="hybridMultilevel"/>
    <w:tmpl w:val="61D4658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447157">
    <w:abstractNumId w:val="14"/>
  </w:num>
  <w:num w:numId="2" w16cid:durableId="1356885370">
    <w:abstractNumId w:val="11"/>
  </w:num>
  <w:num w:numId="3" w16cid:durableId="247466007">
    <w:abstractNumId w:val="3"/>
  </w:num>
  <w:num w:numId="4" w16cid:durableId="513957287">
    <w:abstractNumId w:val="6"/>
  </w:num>
  <w:num w:numId="5" w16cid:durableId="1909462328">
    <w:abstractNumId w:val="13"/>
  </w:num>
  <w:num w:numId="6" w16cid:durableId="22832298">
    <w:abstractNumId w:val="0"/>
  </w:num>
  <w:num w:numId="7" w16cid:durableId="1694527555">
    <w:abstractNumId w:val="2"/>
  </w:num>
  <w:num w:numId="8" w16cid:durableId="376125769">
    <w:abstractNumId w:val="7"/>
  </w:num>
  <w:num w:numId="9" w16cid:durableId="668673962">
    <w:abstractNumId w:val="9"/>
  </w:num>
  <w:num w:numId="10" w16cid:durableId="1619725622">
    <w:abstractNumId w:val="10"/>
  </w:num>
  <w:num w:numId="11" w16cid:durableId="948901209">
    <w:abstractNumId w:val="1"/>
  </w:num>
  <w:num w:numId="12" w16cid:durableId="1471482702">
    <w:abstractNumId w:val="4"/>
  </w:num>
  <w:num w:numId="13" w16cid:durableId="1917742044">
    <w:abstractNumId w:val="12"/>
  </w:num>
  <w:num w:numId="14" w16cid:durableId="1895383266">
    <w:abstractNumId w:val="8"/>
  </w:num>
  <w:num w:numId="15" w16cid:durableId="283198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6A"/>
    <w:rsid w:val="001A79CA"/>
    <w:rsid w:val="00424A78"/>
    <w:rsid w:val="00653042"/>
    <w:rsid w:val="00724E6A"/>
    <w:rsid w:val="007D7033"/>
    <w:rsid w:val="00851309"/>
    <w:rsid w:val="00930C11"/>
    <w:rsid w:val="00976D52"/>
    <w:rsid w:val="00B1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BF4E8"/>
  <w15:chartTrackingRefBased/>
  <w15:docId w15:val="{E5D517CA-F238-471E-AD36-7CA8A8A5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D70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D70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4E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4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D7033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D7033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numbering" w:customStyle="1" w:styleId="Listaactual1">
    <w:name w:val="Lista actual1"/>
    <w:uiPriority w:val="99"/>
    <w:rsid w:val="007D7033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7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622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2026-08-13T20:50:00Z</dcterms:created>
  <dcterms:modified xsi:type="dcterms:W3CDTF">2026-08-13T21:13:00Z</dcterms:modified>
</cp:coreProperties>
</file>