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9AF" w:rsidRDefault="00AB12C1">
      <w:r>
        <w:t>研究现状</w:t>
      </w:r>
    </w:p>
    <w:p w:rsidR="001F48FC" w:rsidRDefault="001F48FC">
      <w:r>
        <w:rPr>
          <w:rFonts w:hint="eastAsia"/>
        </w:rPr>
        <w:t>（加一段对冯诺依曼瓶颈的叙述？）</w:t>
      </w:r>
    </w:p>
    <w:p w:rsidR="00AB12C1" w:rsidRDefault="00064F3C" w:rsidP="0036059A">
      <w:pPr>
        <w:ind w:firstLine="420"/>
      </w:pPr>
      <w:r>
        <w:rPr>
          <w:rFonts w:hint="eastAsia"/>
        </w:rPr>
        <w:t>国内外对智能计算芯片与系统的研究可以分为三类。</w:t>
      </w:r>
    </w:p>
    <w:p w:rsidR="00064F3C" w:rsidRDefault="00064F3C" w:rsidP="0036059A">
      <w:pPr>
        <w:ind w:firstLine="420"/>
      </w:pPr>
      <w:r>
        <w:t>第一类</w:t>
      </w:r>
      <w:r w:rsidR="00E46102">
        <w:t>研究</w:t>
      </w:r>
      <w:r w:rsidR="00E46102">
        <w:rPr>
          <w:rFonts w:hint="eastAsia"/>
        </w:rPr>
        <w:t>被</w:t>
      </w:r>
      <w:r w:rsidR="00E46102">
        <w:t>神经科学所启发</w:t>
      </w:r>
      <w:r w:rsidR="00E46102">
        <w:rPr>
          <w:rFonts w:hint="eastAsia"/>
        </w:rPr>
        <w:t>，</w:t>
      </w:r>
      <w:r w:rsidR="00E46102">
        <w:t>主要目的是构建能够高精确度地模拟大规模生物神经系统结构的软硬件系统</w:t>
      </w:r>
      <w:r w:rsidR="00E46102">
        <w:rPr>
          <w:rFonts w:hint="eastAsia"/>
        </w:rPr>
        <w:t>，</w:t>
      </w:r>
      <w:r w:rsidR="00E46102">
        <w:t>从而</w:t>
      </w:r>
      <w:r w:rsidR="00A72221">
        <w:t>更好地理解大脑的结构以及工作过程</w:t>
      </w:r>
      <w:r w:rsidR="00A72221">
        <w:rPr>
          <w:rFonts w:hint="eastAsia"/>
        </w:rPr>
        <w:t>。</w:t>
      </w:r>
      <w:r w:rsidR="00A72221">
        <w:t>尽管这类研究的一个</w:t>
      </w:r>
      <w:r w:rsidR="00A72221">
        <w:rPr>
          <w:rFonts w:hint="eastAsia"/>
        </w:rPr>
        <w:t>重要</w:t>
      </w:r>
      <w:r w:rsidR="00A72221">
        <w:t>目的是为神经科学的发展提供支持</w:t>
      </w:r>
      <w:r w:rsidR="00A72221">
        <w:rPr>
          <w:rFonts w:hint="eastAsia"/>
        </w:rPr>
        <w:t>，</w:t>
      </w:r>
      <w:r w:rsidR="00A72221">
        <w:t>但是其中的许多项目</w:t>
      </w:r>
      <w:r w:rsidR="002E5FFA">
        <w:t>开拓出了与传统的超级计算机集群不同的体系结构</w:t>
      </w:r>
      <w:r w:rsidR="002E5FFA">
        <w:rPr>
          <w:rFonts w:hint="eastAsia"/>
        </w:rPr>
        <w:t>。这类研究中比较突出的是英国曼彻斯特大学的</w:t>
      </w:r>
      <w:r w:rsidR="002E5FFA">
        <w:rPr>
          <w:rFonts w:hint="eastAsia"/>
        </w:rPr>
        <w:t>SpiNNaker</w:t>
      </w:r>
      <w:r w:rsidR="002E5FFA">
        <w:t xml:space="preserve"> </w:t>
      </w:r>
      <w:r w:rsidR="002E5FFA">
        <w:rPr>
          <w:rFonts w:hint="eastAsia"/>
        </w:rPr>
        <w:t>[</w:t>
      </w:r>
      <w:r w:rsidR="002E5FFA" w:rsidRPr="002E5FFA">
        <w:t>Furber2013]</w:t>
      </w:r>
      <w:r w:rsidR="002E5FFA">
        <w:rPr>
          <w:rFonts w:hint="eastAsia"/>
        </w:rPr>
        <w:t>。</w:t>
      </w:r>
    </w:p>
    <w:p w:rsidR="002E5FFA" w:rsidRDefault="002E2386">
      <w:r>
        <w:tab/>
      </w:r>
      <w:r w:rsidR="00745EC0">
        <w:t>SpiNNaker</w:t>
      </w:r>
      <w:r w:rsidR="00745EC0">
        <w:t>使用</w:t>
      </w:r>
      <w:r w:rsidR="00745EC0">
        <w:rPr>
          <w:rFonts w:hint="eastAsia"/>
        </w:rPr>
        <w:t>ARM968</w:t>
      </w:r>
      <w:r w:rsidR="00745EC0">
        <w:rPr>
          <w:rFonts w:hint="eastAsia"/>
        </w:rPr>
        <w:t>处理器为基本运算单元，整个系统中使用了</w:t>
      </w:r>
      <w:r w:rsidR="00745EC0">
        <w:rPr>
          <w:rFonts w:hint="eastAsia"/>
        </w:rPr>
        <w:t>1036800</w:t>
      </w:r>
      <w:r w:rsidR="00745EC0">
        <w:rPr>
          <w:rFonts w:hint="eastAsia"/>
        </w:rPr>
        <w:t>个处理器，峰值处理速度可以达到每秒</w:t>
      </w:r>
      <w:r w:rsidR="00745EC0">
        <w:rPr>
          <w:rFonts w:hint="eastAsia"/>
        </w:rPr>
        <w:t>228</w:t>
      </w:r>
      <w:r w:rsidR="00745EC0">
        <w:rPr>
          <w:rFonts w:hint="eastAsia"/>
        </w:rPr>
        <w:t>兆</w:t>
      </w:r>
      <w:r w:rsidR="00745EC0">
        <w:rPr>
          <w:rFonts w:hint="eastAsia"/>
        </w:rPr>
        <w:t>Dhrystone</w:t>
      </w:r>
      <w:r w:rsidR="00745EC0">
        <w:rPr>
          <w:rFonts w:hint="eastAsia"/>
        </w:rPr>
        <w:t>指令，而能量消耗可以控制在</w:t>
      </w:r>
      <w:r w:rsidR="00745EC0">
        <w:rPr>
          <w:rFonts w:hint="eastAsia"/>
        </w:rPr>
        <w:t>90kW</w:t>
      </w:r>
      <w:r w:rsidR="005072B8">
        <w:rPr>
          <w:rFonts w:hint="eastAsia"/>
        </w:rPr>
        <w:t>内。</w:t>
      </w:r>
      <w:r w:rsidR="005072B8">
        <w:rPr>
          <w:rFonts w:hint="eastAsia"/>
        </w:rPr>
        <w:t>SpiNNaker</w:t>
      </w:r>
      <w:r w:rsidR="005072B8">
        <w:rPr>
          <w:rFonts w:hint="eastAsia"/>
        </w:rPr>
        <w:t>使用软件模拟神经元，能够灵活地支持不同的神经元模型。</w:t>
      </w:r>
    </w:p>
    <w:p w:rsidR="001A7834" w:rsidRDefault="002E5FFA" w:rsidP="0036059A">
      <w:pPr>
        <w:ind w:firstLine="420"/>
      </w:pPr>
      <w:r>
        <w:t>第二类研究</w:t>
      </w:r>
      <w:r w:rsidR="0036059A">
        <w:rPr>
          <w:rFonts w:hint="eastAsia"/>
        </w:rPr>
        <w:t>从现有的</w:t>
      </w:r>
      <w:r w:rsidR="0036059A">
        <w:t>深度学习网络结构出发</w:t>
      </w:r>
      <w:r w:rsidR="0036059A">
        <w:rPr>
          <w:rFonts w:hint="eastAsia"/>
        </w:rPr>
        <w:t>，针对特定类型的神经网络以及特定的训练算法开发专用的硬件来加速深度学习中的学习或训练过程。近些年深度学习方法在相当多的领域中取得了优异的成果</w:t>
      </w:r>
      <w:r w:rsidR="001A7834">
        <w:rPr>
          <w:rFonts w:hint="eastAsia"/>
        </w:rPr>
        <w:t>，但是其训练过程在传统</w:t>
      </w:r>
      <w:r w:rsidR="001A7834">
        <w:rPr>
          <w:rFonts w:hint="eastAsia"/>
        </w:rPr>
        <w:t>CPU</w:t>
      </w:r>
      <w:r w:rsidR="001A7834">
        <w:rPr>
          <w:rFonts w:hint="eastAsia"/>
        </w:rPr>
        <w:t>结构上可能要花费数周甚至数月的时间，因此大多数高端的深度学习应用都会使用</w:t>
      </w:r>
      <w:r w:rsidR="001A7834">
        <w:rPr>
          <w:rFonts w:hint="eastAsia"/>
        </w:rPr>
        <w:t>GPU</w:t>
      </w:r>
      <w:r w:rsidR="001A7834">
        <w:rPr>
          <w:rFonts w:hint="eastAsia"/>
        </w:rPr>
        <w:t>来加速这个过程。</w:t>
      </w:r>
    </w:p>
    <w:p w:rsidR="002E5FFA" w:rsidRDefault="001A7834" w:rsidP="0036059A">
      <w:pPr>
        <w:ind w:firstLine="420"/>
      </w:pPr>
      <w:r>
        <w:rPr>
          <w:rFonts w:hint="eastAsia"/>
        </w:rPr>
        <w:t>然而随着深度学习涉及的数据量以及应用使用量的增大，</w:t>
      </w:r>
      <w:r>
        <w:rPr>
          <w:rFonts w:hint="eastAsia"/>
        </w:rPr>
        <w:t>CPU</w:t>
      </w:r>
      <w:r>
        <w:rPr>
          <w:rFonts w:hint="eastAsia"/>
        </w:rPr>
        <w:t>与</w:t>
      </w:r>
      <w:r>
        <w:rPr>
          <w:rFonts w:hint="eastAsia"/>
        </w:rPr>
        <w:t>GPU</w:t>
      </w:r>
      <w:r>
        <w:rPr>
          <w:rFonts w:hint="eastAsia"/>
        </w:rPr>
        <w:t>的混合结构也越来越难以满足功耗等方面的要求。</w:t>
      </w:r>
      <w:r w:rsidR="009222B4">
        <w:rPr>
          <w:rFonts w:hint="eastAsia"/>
        </w:rPr>
        <w:t>为了解决这类问题，一些公司和研究机构将目光转到了新的体系结构上</w:t>
      </w:r>
      <w:r w:rsidR="00E558CB">
        <w:rPr>
          <w:rFonts w:hint="eastAsia"/>
        </w:rPr>
        <w:t>。这类研究中，国外具有代表性的是</w:t>
      </w:r>
      <w:r w:rsidR="00E558CB">
        <w:rPr>
          <w:rFonts w:hint="eastAsia"/>
        </w:rPr>
        <w:t>Google</w:t>
      </w:r>
      <w:r w:rsidR="00E558CB">
        <w:rPr>
          <w:rFonts w:hint="eastAsia"/>
        </w:rPr>
        <w:t>公司的</w:t>
      </w:r>
      <w:r w:rsidR="00E558CB">
        <w:rPr>
          <w:rFonts w:hint="eastAsia"/>
        </w:rPr>
        <w:t>TPU</w:t>
      </w:r>
      <w:r w:rsidR="00E558CB">
        <w:t xml:space="preserve"> </w:t>
      </w:r>
      <w:r w:rsidR="00363FEC">
        <w:t>[Jouppi2017</w:t>
      </w:r>
      <w:r w:rsidR="00E558CB" w:rsidRPr="00E558CB">
        <w:t>]</w:t>
      </w:r>
      <w:r w:rsidR="00E558CB">
        <w:rPr>
          <w:rFonts w:hint="eastAsia"/>
        </w:rPr>
        <w:t>，</w:t>
      </w:r>
      <w:r w:rsidR="00E558CB">
        <w:t>在国内则有中科院计算所</w:t>
      </w:r>
      <w:r w:rsidR="00E558CB">
        <w:rPr>
          <w:rFonts w:hint="eastAsia"/>
        </w:rPr>
        <w:t>开发</w:t>
      </w:r>
      <w:r w:rsidR="00E558CB">
        <w:t>的</w:t>
      </w:r>
      <w:r w:rsidR="00E558CB">
        <w:rPr>
          <w:rFonts w:hint="eastAsia"/>
        </w:rPr>
        <w:t>“寒武纪”芯片</w:t>
      </w:r>
      <w:r w:rsidR="00E558CB">
        <w:rPr>
          <w:rFonts w:hint="eastAsia"/>
        </w:rPr>
        <w:t>[</w:t>
      </w:r>
      <w:r w:rsidR="00E558CB">
        <w:t>Chen2014</w:t>
      </w:r>
      <w:r w:rsidR="00E558CB">
        <w:rPr>
          <w:rFonts w:hint="eastAsia"/>
        </w:rPr>
        <w:t>]</w:t>
      </w:r>
      <w:r w:rsidR="00E558CB">
        <w:rPr>
          <w:rFonts w:hint="eastAsia"/>
        </w:rPr>
        <w:t>。</w:t>
      </w:r>
    </w:p>
    <w:p w:rsidR="00E558CB" w:rsidRPr="00363FEC" w:rsidRDefault="005072B8" w:rsidP="005072B8">
      <w:pPr>
        <w:ind w:firstLine="420"/>
      </w:pPr>
      <w:r>
        <w:rPr>
          <w:rFonts w:hint="eastAsia"/>
        </w:rPr>
        <w:t>T</w:t>
      </w:r>
      <w:r>
        <w:t>PU</w:t>
      </w:r>
      <w:r>
        <w:t>是</w:t>
      </w:r>
      <w:r>
        <w:rPr>
          <w:rFonts w:hint="eastAsia"/>
        </w:rPr>
        <w:t>Google</w:t>
      </w:r>
      <w:r w:rsidR="00093172">
        <w:rPr>
          <w:rFonts w:hint="eastAsia"/>
        </w:rPr>
        <w:t>专门为</w:t>
      </w:r>
      <w:r w:rsidR="00093172">
        <w:rPr>
          <w:rFonts w:hint="eastAsia"/>
        </w:rPr>
        <w:t>TensorFlow</w:t>
      </w:r>
      <w:r w:rsidR="00093172">
        <w:rPr>
          <w:rFonts w:hint="eastAsia"/>
        </w:rPr>
        <w:t>深度学习框架设计的一款处理器</w:t>
      </w:r>
      <w:r w:rsidR="00363FEC">
        <w:rPr>
          <w:rFonts w:hint="eastAsia"/>
        </w:rPr>
        <w:t>，以加速深度学习中的矩阵运算部分为主要设计思路。与同时期的</w:t>
      </w:r>
      <w:r w:rsidR="00363FEC">
        <w:rPr>
          <w:rFonts w:hint="eastAsia"/>
        </w:rPr>
        <w:t>CPU</w:t>
      </w:r>
      <w:r w:rsidR="00363FEC">
        <w:rPr>
          <w:rFonts w:hint="eastAsia"/>
        </w:rPr>
        <w:t>和</w:t>
      </w:r>
      <w:r w:rsidR="00363FEC">
        <w:rPr>
          <w:rFonts w:hint="eastAsia"/>
        </w:rPr>
        <w:t>GPU</w:t>
      </w:r>
      <w:r w:rsidR="00363FEC">
        <w:rPr>
          <w:rFonts w:hint="eastAsia"/>
        </w:rPr>
        <w:t>相比，</w:t>
      </w:r>
      <w:r w:rsidR="00363FEC">
        <w:rPr>
          <w:rFonts w:hint="eastAsia"/>
        </w:rPr>
        <w:t>TPU</w:t>
      </w:r>
      <w:r w:rsidR="00363FEC">
        <w:rPr>
          <w:rFonts w:hint="eastAsia"/>
        </w:rPr>
        <w:t>可以将每瓦特的性能提高</w:t>
      </w:r>
      <w:r w:rsidR="00363FEC">
        <w:rPr>
          <w:rFonts w:hint="eastAsia"/>
        </w:rPr>
        <w:t>30-</w:t>
      </w:r>
      <w:r w:rsidR="00363FEC">
        <w:t>80</w:t>
      </w:r>
      <w:r w:rsidR="00363FEC">
        <w:t>倍</w:t>
      </w:r>
      <w:r w:rsidR="00363FEC">
        <w:rPr>
          <w:rFonts w:hint="eastAsia"/>
        </w:rPr>
        <w:t>。</w:t>
      </w:r>
    </w:p>
    <w:p w:rsidR="00987563" w:rsidRDefault="00987563" w:rsidP="00EE0F2B">
      <w:pPr>
        <w:rPr>
          <w:rFonts w:hint="eastAsia"/>
        </w:rPr>
      </w:pPr>
      <w:r>
        <w:tab/>
      </w:r>
      <w:r w:rsidR="00363FEC">
        <w:rPr>
          <w:rFonts w:hint="eastAsia"/>
        </w:rPr>
        <w:t>中科院计算所</w:t>
      </w:r>
      <w:r w:rsidR="00010DEC">
        <w:rPr>
          <w:rFonts w:hint="eastAsia"/>
        </w:rPr>
        <w:t>从针对神经网络的指令系统出发，开发了“寒武纪”芯片</w:t>
      </w:r>
      <w:r w:rsidRPr="00987563">
        <w:rPr>
          <w:rFonts w:hint="eastAsia"/>
        </w:rPr>
        <w:t>。“寒武纪”芯片每秒能处理</w:t>
      </w:r>
      <w:r w:rsidRPr="00987563">
        <w:rPr>
          <w:rFonts w:hint="eastAsia"/>
        </w:rPr>
        <w:t>160</w:t>
      </w:r>
      <w:r w:rsidRPr="00987563">
        <w:rPr>
          <w:rFonts w:hint="eastAsia"/>
        </w:rPr>
        <w:t>亿个神经元和</w:t>
      </w:r>
      <w:r w:rsidRPr="00987563">
        <w:rPr>
          <w:rFonts w:hint="eastAsia"/>
        </w:rPr>
        <w:t>2.56</w:t>
      </w:r>
      <w:r w:rsidRPr="00987563">
        <w:rPr>
          <w:rFonts w:hint="eastAsia"/>
        </w:rPr>
        <w:t>万亿个突触运算，可达到每秒</w:t>
      </w:r>
      <w:r w:rsidRPr="00987563">
        <w:rPr>
          <w:rFonts w:hint="eastAsia"/>
        </w:rPr>
        <w:t>512G</w:t>
      </w:r>
      <w:r w:rsidRPr="00987563">
        <w:rPr>
          <w:rFonts w:hint="eastAsia"/>
        </w:rPr>
        <w:t>浮点运算速度，可广泛适应各种智能处理应用。</w:t>
      </w:r>
    </w:p>
    <w:p w:rsidR="00C6326B" w:rsidRDefault="00E558CB" w:rsidP="0036059A">
      <w:pPr>
        <w:ind w:firstLine="420"/>
      </w:pPr>
      <w:r>
        <w:t>第三类研究受神经系统结构启发</w:t>
      </w:r>
      <w:r>
        <w:rPr>
          <w:rFonts w:hint="eastAsia"/>
        </w:rPr>
        <w:t>，</w:t>
      </w:r>
      <w:r w:rsidR="00C6326B">
        <w:t>参考神经系统的结构来开发新形态的硬件系统</w:t>
      </w:r>
      <w:r w:rsidR="00C6326B">
        <w:rPr>
          <w:rFonts w:hint="eastAsia"/>
        </w:rPr>
        <w:t>。</w:t>
      </w:r>
      <w:r w:rsidR="00C6326B">
        <w:t>这类系统</w:t>
      </w:r>
      <w:r w:rsidR="00C6326B">
        <w:rPr>
          <w:rFonts w:hint="eastAsia"/>
        </w:rPr>
        <w:t>参考</w:t>
      </w:r>
      <w:r w:rsidR="00C6326B">
        <w:t>生物的神经系统来组织自身结构</w:t>
      </w:r>
      <w:r w:rsidR="00C6326B">
        <w:rPr>
          <w:rFonts w:hint="eastAsia"/>
        </w:rPr>
        <w:t>，并利用数字电路或模拟电路来实现神经系统中的组成成分，如神经元、突触和灰质等。</w:t>
      </w:r>
    </w:p>
    <w:p w:rsidR="00E558CB" w:rsidRPr="0067241B" w:rsidRDefault="00C6326B" w:rsidP="0067241B">
      <w:pPr>
        <w:ind w:firstLine="420"/>
      </w:pPr>
      <w:r>
        <w:rPr>
          <w:rFonts w:hint="eastAsia"/>
        </w:rPr>
        <w:t>这类研究与第一类研究不同，因为其目的并不是为了模拟神经系统，而是希望从神经科学中得到启发来构建</w:t>
      </w:r>
      <w:r w:rsidR="009F434D">
        <w:rPr>
          <w:rFonts w:hint="eastAsia"/>
        </w:rPr>
        <w:t>低功耗高性能的新型体系结构；同时，这类研究也不同于第二类，因为这类研究并没有针对特定的一种或一类神经网络模型去进行设计。</w:t>
      </w:r>
      <w:r w:rsidR="009F434D">
        <w:t>这类研究中具有代表性的工作有</w:t>
      </w:r>
      <w:r w:rsidR="009F434D">
        <w:rPr>
          <w:rFonts w:hint="eastAsia"/>
        </w:rPr>
        <w:t>IBM</w:t>
      </w:r>
      <w:r w:rsidR="009F434D">
        <w:rPr>
          <w:rFonts w:hint="eastAsia"/>
        </w:rPr>
        <w:t>开发的</w:t>
      </w:r>
      <w:r w:rsidR="009F434D">
        <w:rPr>
          <w:rFonts w:hint="eastAsia"/>
        </w:rPr>
        <w:t>TrueNorth</w:t>
      </w:r>
      <w:r w:rsidR="00EE0F2B" w:rsidRPr="00EE0F2B">
        <w:t xml:space="preserve"> [Merolla201</w:t>
      </w:r>
      <w:bookmarkStart w:id="0" w:name="_GoBack"/>
      <w:bookmarkEnd w:id="0"/>
      <w:r w:rsidR="00EE0F2B" w:rsidRPr="00EE0F2B">
        <w:t>4]</w:t>
      </w:r>
      <w:r w:rsidR="009F434D">
        <w:rPr>
          <w:rFonts w:hint="eastAsia"/>
        </w:rPr>
        <w:t>，以及浙江大学的“达尔文”</w:t>
      </w:r>
      <w:r w:rsidR="00EE0F2B" w:rsidRPr="00EE0F2B">
        <w:t>[Shen2016]</w:t>
      </w:r>
      <w:r w:rsidR="009F434D">
        <w:rPr>
          <w:rFonts w:hint="eastAsia"/>
        </w:rPr>
        <w:t>。</w:t>
      </w:r>
    </w:p>
    <w:p w:rsidR="00E558CB" w:rsidRPr="0023136B" w:rsidRDefault="00A14A87" w:rsidP="0036059A">
      <w:pPr>
        <w:ind w:firstLine="420"/>
      </w:pPr>
      <w:r>
        <w:rPr>
          <w:rFonts w:hint="eastAsia"/>
        </w:rPr>
        <w:t>TrueNorth</w:t>
      </w:r>
      <w:r>
        <w:rPr>
          <w:rFonts w:hint="eastAsia"/>
        </w:rPr>
        <w:t>选用了注重速度的简化</w:t>
      </w:r>
      <w:r>
        <w:rPr>
          <w:rFonts w:hint="eastAsia"/>
        </w:rPr>
        <w:t>LIF</w:t>
      </w:r>
      <w:r>
        <w:rPr>
          <w:rFonts w:hint="eastAsia"/>
        </w:rPr>
        <w:t>神经元模型，</w:t>
      </w:r>
      <w:r w:rsidR="0019439F">
        <w:rPr>
          <w:rFonts w:hint="eastAsia"/>
        </w:rPr>
        <w:t>最大支持</w:t>
      </w:r>
      <w:r w:rsidR="0019439F">
        <w:rPr>
          <w:rFonts w:hint="eastAsia"/>
        </w:rPr>
        <w:t>100</w:t>
      </w:r>
      <w:r w:rsidR="0019439F">
        <w:rPr>
          <w:rFonts w:hint="eastAsia"/>
        </w:rPr>
        <w:t>万脉冲神经元和</w:t>
      </w:r>
      <w:r w:rsidR="0019439F">
        <w:rPr>
          <w:rFonts w:hint="eastAsia"/>
        </w:rPr>
        <w:t>2.5</w:t>
      </w:r>
      <w:r w:rsidR="0019439F">
        <w:rPr>
          <w:rFonts w:hint="eastAsia"/>
        </w:rPr>
        <w:t>亿突触</w:t>
      </w:r>
      <w:r>
        <w:rPr>
          <w:rFonts w:hint="eastAsia"/>
        </w:rPr>
        <w:t>。</w:t>
      </w:r>
      <w:r w:rsidR="00594D9E">
        <w:rPr>
          <w:rFonts w:hint="eastAsia"/>
        </w:rPr>
        <w:t>“达尔文”同样采用了</w:t>
      </w:r>
      <w:r w:rsidR="00594D9E">
        <w:rPr>
          <w:rFonts w:hint="eastAsia"/>
        </w:rPr>
        <w:t>LIF</w:t>
      </w:r>
      <w:r w:rsidR="00594D9E">
        <w:rPr>
          <w:rFonts w:hint="eastAsia"/>
        </w:rPr>
        <w:t>神经元模型，本身作为协处理器辅助完成计算任务</w:t>
      </w:r>
      <w:r w:rsidR="0023136B">
        <w:rPr>
          <w:rFonts w:hint="eastAsia"/>
        </w:rPr>
        <w:t>，最大支持</w:t>
      </w:r>
      <w:r w:rsidR="0023136B">
        <w:rPr>
          <w:rFonts w:hint="eastAsia"/>
        </w:rPr>
        <w:t>2048</w:t>
      </w:r>
      <w:r w:rsidR="0023136B">
        <w:rPr>
          <w:rFonts w:hint="eastAsia"/>
        </w:rPr>
        <w:t>个神经元和约</w:t>
      </w:r>
      <w:r w:rsidR="0023136B">
        <w:rPr>
          <w:rFonts w:hint="eastAsia"/>
        </w:rPr>
        <w:t>420</w:t>
      </w:r>
      <w:r w:rsidR="0023136B">
        <w:rPr>
          <w:rFonts w:hint="eastAsia"/>
        </w:rPr>
        <w:t>万个突触，以及</w:t>
      </w:r>
      <w:r w:rsidR="0023136B">
        <w:rPr>
          <w:rFonts w:hint="eastAsia"/>
        </w:rPr>
        <w:t>15</w:t>
      </w:r>
      <w:r w:rsidR="0023136B">
        <w:rPr>
          <w:rFonts w:hint="eastAsia"/>
        </w:rPr>
        <w:t>种突触延迟。“达尔文”的工作频率为</w:t>
      </w:r>
      <w:r w:rsidR="0023136B">
        <w:rPr>
          <w:rFonts w:hint="eastAsia"/>
        </w:rPr>
        <w:t>70MHz</w:t>
      </w:r>
      <w:r w:rsidR="0023136B">
        <w:rPr>
          <w:rFonts w:hint="eastAsia"/>
        </w:rPr>
        <w:t>，虽然频率很低，但处理延迟并未显著增加，并在多种分类算法上取得了高准确率的结果。</w:t>
      </w:r>
    </w:p>
    <w:p w:rsidR="00E558CB" w:rsidRDefault="00E558CB" w:rsidP="0036059A">
      <w:pPr>
        <w:ind w:firstLine="420"/>
      </w:pPr>
    </w:p>
    <w:p w:rsidR="00E558CB" w:rsidRDefault="00E558CB" w:rsidP="0036059A">
      <w:pPr>
        <w:ind w:firstLine="420"/>
      </w:pPr>
    </w:p>
    <w:p w:rsidR="00E558CB" w:rsidRDefault="00E558CB" w:rsidP="0036059A">
      <w:pPr>
        <w:ind w:firstLine="420"/>
      </w:pPr>
    </w:p>
    <w:p w:rsidR="00E558CB" w:rsidRDefault="00E558CB" w:rsidP="0036059A">
      <w:pPr>
        <w:ind w:firstLine="420"/>
      </w:pPr>
    </w:p>
    <w:p w:rsidR="00E558CB" w:rsidRDefault="00E558CB" w:rsidP="0036059A">
      <w:pPr>
        <w:ind w:firstLine="420"/>
      </w:pPr>
    </w:p>
    <w:p w:rsidR="00E558CB" w:rsidRDefault="00E558CB" w:rsidP="00A052F7"/>
    <w:p w:rsidR="00E558CB" w:rsidRPr="00A052F7" w:rsidRDefault="00A052F7" w:rsidP="00A052F7">
      <w:r>
        <w:t xml:space="preserve">[Chen2014] </w:t>
      </w:r>
      <w:r w:rsidRPr="00A14A87">
        <w:t xml:space="preserve">Tianshi Chen, Zidong Du, Ninghui Sun, Jia Wang, Chengyong Wu, Yunji Chen, and Olivier Temam, "DianNao: A Small-Footprint High-Throughput Accelerator for Ubiquitous Machine-Learning", in Proceedings of the 19th ACM International Conference on Architectural Support for </w:t>
      </w:r>
      <w:r w:rsidRPr="00A14A87">
        <w:lastRenderedPageBreak/>
        <w:t>Programming Languages and Operating Systems (ASPLOS'14), 2014.</w:t>
      </w:r>
    </w:p>
    <w:p w:rsidR="00A052F7" w:rsidRDefault="00A052F7" w:rsidP="00A052F7">
      <w:pPr>
        <w:rPr>
          <w:rFonts w:hint="eastAsia"/>
        </w:rPr>
      </w:pPr>
    </w:p>
    <w:p w:rsidR="00E558CB" w:rsidRDefault="00A052F7" w:rsidP="00A052F7">
      <w:r>
        <w:t>[Furber2013] Furber, Steve B., David R. Lester, Luis A. Plana, Jim D. Garside, Eustace Painkras, Steve</w:t>
      </w:r>
      <w:r>
        <w:t xml:space="preserve"> </w:t>
      </w:r>
      <w:r>
        <w:t>Temple, and Andrew D. Brown. "Overview of the SpiNNaker system architecture." IEEE Transactions on</w:t>
      </w:r>
      <w:r>
        <w:t xml:space="preserve"> </w:t>
      </w:r>
      <w:r>
        <w:t>Computers 62.12 (2013): 2454¨C2467.</w:t>
      </w:r>
    </w:p>
    <w:p w:rsidR="00A052F7" w:rsidRDefault="00A052F7" w:rsidP="00A14A87">
      <w:pPr>
        <w:rPr>
          <w:rFonts w:hint="eastAsia"/>
        </w:rPr>
      </w:pPr>
    </w:p>
    <w:p w:rsidR="00A052F7" w:rsidRDefault="00305BFA" w:rsidP="00A14A87">
      <w:r>
        <w:t xml:space="preserve">[Jouppi2017] Jouppi et al. </w:t>
      </w:r>
      <w:r w:rsidRPr="00305BFA">
        <w:t>"In-Datacenter Performance Analysis of a Tensor Processing Unit." In Proceedings of the 44th Annual International Symposium on Computer Architecture, 1-12. Toronto, ON, Canada: ACM.</w:t>
      </w:r>
      <w:r>
        <w:t xml:space="preserve"> </w:t>
      </w:r>
      <w:r w:rsidRPr="00305BFA">
        <w:t>2017.</w:t>
      </w:r>
    </w:p>
    <w:p w:rsidR="00305BFA" w:rsidRDefault="00305BFA" w:rsidP="00A14A87"/>
    <w:p w:rsidR="00441056" w:rsidRDefault="00441056" w:rsidP="00441056">
      <w:r>
        <w:t>[Merolla2014] Merolla, Paul A., et al. "A million spiking-neuron integrated circuit with a scalable</w:t>
      </w:r>
      <w:r>
        <w:rPr>
          <w:rFonts w:hint="eastAsia"/>
        </w:rPr>
        <w:t xml:space="preserve"> </w:t>
      </w:r>
      <w:r>
        <w:t>communication network and interface." Science 345.6197 (2014): 668–673.</w:t>
      </w:r>
    </w:p>
    <w:p w:rsidR="00441056" w:rsidRDefault="00441056" w:rsidP="00A14A87">
      <w:pPr>
        <w:rPr>
          <w:rFonts w:hint="eastAsia"/>
        </w:rPr>
      </w:pPr>
    </w:p>
    <w:p w:rsidR="00305BFA" w:rsidRDefault="00305BFA" w:rsidP="00305BFA">
      <w:r>
        <w:t>[Shen2016] Shen, Juncheng, et al. "Darwin: a neuromorphic hardware co-processor based on Spiking</w:t>
      </w:r>
      <w:r>
        <w:t xml:space="preserve"> </w:t>
      </w:r>
      <w:r>
        <w:t>Neural Networks." Science China Information Sciences59.2 (2016): 1¨C5.</w:t>
      </w:r>
    </w:p>
    <w:sectPr w:rsidR="00305B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71C" w:rsidRDefault="000A771C" w:rsidP="00AB12C1">
      <w:r>
        <w:separator/>
      </w:r>
    </w:p>
  </w:endnote>
  <w:endnote w:type="continuationSeparator" w:id="0">
    <w:p w:rsidR="000A771C" w:rsidRDefault="000A771C" w:rsidP="00AB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71C" w:rsidRDefault="000A771C" w:rsidP="00AB12C1">
      <w:r>
        <w:separator/>
      </w:r>
    </w:p>
  </w:footnote>
  <w:footnote w:type="continuationSeparator" w:id="0">
    <w:p w:rsidR="000A771C" w:rsidRDefault="000A771C" w:rsidP="00AB12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15A92"/>
    <w:multiLevelType w:val="hybridMultilevel"/>
    <w:tmpl w:val="A8AA09C2"/>
    <w:lvl w:ilvl="0" w:tplc="DC4E4DCA">
      <w:start w:val="1"/>
      <w:numFmt w:val="decimal"/>
      <w:lvlText w:val="%1."/>
      <w:lvlJc w:val="left"/>
      <w:pPr>
        <w:tabs>
          <w:tab w:val="num" w:pos="360"/>
        </w:tabs>
        <w:ind w:left="360" w:hanging="360"/>
      </w:pPr>
    </w:lvl>
    <w:lvl w:ilvl="1" w:tplc="998C1F4E" w:tentative="1">
      <w:start w:val="1"/>
      <w:numFmt w:val="decimal"/>
      <w:lvlText w:val="%2."/>
      <w:lvlJc w:val="left"/>
      <w:pPr>
        <w:tabs>
          <w:tab w:val="num" w:pos="1080"/>
        </w:tabs>
        <w:ind w:left="1080" w:hanging="360"/>
      </w:pPr>
    </w:lvl>
    <w:lvl w:ilvl="2" w:tplc="4E5A4FC2" w:tentative="1">
      <w:start w:val="1"/>
      <w:numFmt w:val="decimal"/>
      <w:lvlText w:val="%3."/>
      <w:lvlJc w:val="left"/>
      <w:pPr>
        <w:tabs>
          <w:tab w:val="num" w:pos="1800"/>
        </w:tabs>
        <w:ind w:left="1800" w:hanging="360"/>
      </w:pPr>
    </w:lvl>
    <w:lvl w:ilvl="3" w:tplc="1D3ABE10" w:tentative="1">
      <w:start w:val="1"/>
      <w:numFmt w:val="decimal"/>
      <w:lvlText w:val="%4."/>
      <w:lvlJc w:val="left"/>
      <w:pPr>
        <w:tabs>
          <w:tab w:val="num" w:pos="2520"/>
        </w:tabs>
        <w:ind w:left="2520" w:hanging="360"/>
      </w:pPr>
    </w:lvl>
    <w:lvl w:ilvl="4" w:tplc="14E4EFF4" w:tentative="1">
      <w:start w:val="1"/>
      <w:numFmt w:val="decimal"/>
      <w:lvlText w:val="%5."/>
      <w:lvlJc w:val="left"/>
      <w:pPr>
        <w:tabs>
          <w:tab w:val="num" w:pos="3240"/>
        </w:tabs>
        <w:ind w:left="3240" w:hanging="360"/>
      </w:pPr>
    </w:lvl>
    <w:lvl w:ilvl="5" w:tplc="1C509DE2" w:tentative="1">
      <w:start w:val="1"/>
      <w:numFmt w:val="decimal"/>
      <w:lvlText w:val="%6."/>
      <w:lvlJc w:val="left"/>
      <w:pPr>
        <w:tabs>
          <w:tab w:val="num" w:pos="3960"/>
        </w:tabs>
        <w:ind w:left="3960" w:hanging="360"/>
      </w:pPr>
    </w:lvl>
    <w:lvl w:ilvl="6" w:tplc="4E7EA49E" w:tentative="1">
      <w:start w:val="1"/>
      <w:numFmt w:val="decimal"/>
      <w:lvlText w:val="%7."/>
      <w:lvlJc w:val="left"/>
      <w:pPr>
        <w:tabs>
          <w:tab w:val="num" w:pos="4680"/>
        </w:tabs>
        <w:ind w:left="4680" w:hanging="360"/>
      </w:pPr>
    </w:lvl>
    <w:lvl w:ilvl="7" w:tplc="D3B20F38" w:tentative="1">
      <w:start w:val="1"/>
      <w:numFmt w:val="decimal"/>
      <w:lvlText w:val="%8."/>
      <w:lvlJc w:val="left"/>
      <w:pPr>
        <w:tabs>
          <w:tab w:val="num" w:pos="5400"/>
        </w:tabs>
        <w:ind w:left="5400" w:hanging="360"/>
      </w:pPr>
    </w:lvl>
    <w:lvl w:ilvl="8" w:tplc="5B50618E"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pt0fv91xezvye52dc5fxznptdx2vvw9wtd&quot;&gt;My EndNote Library&lt;record-ids&gt;&lt;item&gt;10&lt;/item&gt;&lt;/record-ids&gt;&lt;/item&gt;&lt;/Libraries&gt;"/>
  </w:docVars>
  <w:rsids>
    <w:rsidRoot w:val="00CD39CA"/>
    <w:rsid w:val="00010DEC"/>
    <w:rsid w:val="00025424"/>
    <w:rsid w:val="00064F3C"/>
    <w:rsid w:val="00093172"/>
    <w:rsid w:val="000A771C"/>
    <w:rsid w:val="0019439F"/>
    <w:rsid w:val="001A7834"/>
    <w:rsid w:val="001F48FC"/>
    <w:rsid w:val="0023136B"/>
    <w:rsid w:val="002E2386"/>
    <w:rsid w:val="002E5FFA"/>
    <w:rsid w:val="00305BFA"/>
    <w:rsid w:val="0036059A"/>
    <w:rsid w:val="00363FEC"/>
    <w:rsid w:val="00387D0B"/>
    <w:rsid w:val="00441056"/>
    <w:rsid w:val="005072B8"/>
    <w:rsid w:val="00594D9E"/>
    <w:rsid w:val="0067241B"/>
    <w:rsid w:val="00745EC0"/>
    <w:rsid w:val="009222B4"/>
    <w:rsid w:val="00987563"/>
    <w:rsid w:val="009F434D"/>
    <w:rsid w:val="00A052F7"/>
    <w:rsid w:val="00A14A87"/>
    <w:rsid w:val="00A72221"/>
    <w:rsid w:val="00A83C00"/>
    <w:rsid w:val="00AB12C1"/>
    <w:rsid w:val="00AB76C3"/>
    <w:rsid w:val="00C6326B"/>
    <w:rsid w:val="00CD39CA"/>
    <w:rsid w:val="00E25BFF"/>
    <w:rsid w:val="00E35556"/>
    <w:rsid w:val="00E46102"/>
    <w:rsid w:val="00E558CB"/>
    <w:rsid w:val="00EE0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182679-8FC0-44D5-A6E1-0E4D0AA0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12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12C1"/>
    <w:rPr>
      <w:sz w:val="18"/>
      <w:szCs w:val="18"/>
    </w:rPr>
  </w:style>
  <w:style w:type="paragraph" w:styleId="a4">
    <w:name w:val="footer"/>
    <w:basedOn w:val="a"/>
    <w:link w:val="Char0"/>
    <w:uiPriority w:val="99"/>
    <w:unhideWhenUsed/>
    <w:rsid w:val="00AB12C1"/>
    <w:pPr>
      <w:tabs>
        <w:tab w:val="center" w:pos="4153"/>
        <w:tab w:val="right" w:pos="8306"/>
      </w:tabs>
      <w:snapToGrid w:val="0"/>
      <w:jc w:val="left"/>
    </w:pPr>
    <w:rPr>
      <w:sz w:val="18"/>
      <w:szCs w:val="18"/>
    </w:rPr>
  </w:style>
  <w:style w:type="character" w:customStyle="1" w:styleId="Char0">
    <w:name w:val="页脚 Char"/>
    <w:basedOn w:val="a0"/>
    <w:link w:val="a4"/>
    <w:uiPriority w:val="99"/>
    <w:rsid w:val="00AB12C1"/>
    <w:rPr>
      <w:sz w:val="18"/>
      <w:szCs w:val="18"/>
    </w:rPr>
  </w:style>
  <w:style w:type="paragraph" w:customStyle="1" w:styleId="EndNoteBibliography">
    <w:name w:val="EndNote Bibliography"/>
    <w:basedOn w:val="a"/>
    <w:link w:val="EndNoteBibliographyChar"/>
    <w:rsid w:val="00E558CB"/>
    <w:rPr>
      <w:rFonts w:ascii="Calibri" w:eastAsia="等线" w:hAnsi="Calibri" w:cs="Calibri"/>
      <w:noProof/>
      <w:sz w:val="20"/>
    </w:rPr>
  </w:style>
  <w:style w:type="character" w:customStyle="1" w:styleId="EndNoteBibliographyChar">
    <w:name w:val="EndNote Bibliography Char"/>
    <w:basedOn w:val="a0"/>
    <w:link w:val="EndNoteBibliography"/>
    <w:rsid w:val="00E558CB"/>
    <w:rPr>
      <w:rFonts w:ascii="Calibri" w:eastAsia="等线" w:hAnsi="Calibri" w:cs="Calibri"/>
      <w:noProof/>
      <w:sz w:val="20"/>
    </w:rPr>
  </w:style>
  <w:style w:type="paragraph" w:customStyle="1" w:styleId="EndNoteBibliographyTitle">
    <w:name w:val="EndNote Bibliography Title"/>
    <w:basedOn w:val="a"/>
    <w:link w:val="EndNoteBibliographyTitleChar"/>
    <w:rsid w:val="00A052F7"/>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A052F7"/>
    <w:rPr>
      <w:rFonts w:ascii="Calibri" w:hAnsi="Calibri" w:cs="Calibri"/>
      <w:noProof/>
      <w:sz w:val="20"/>
    </w:rPr>
  </w:style>
  <w:style w:type="character" w:styleId="a5">
    <w:name w:val="Hyperlink"/>
    <w:basedOn w:val="a0"/>
    <w:uiPriority w:val="99"/>
    <w:unhideWhenUsed/>
    <w:rsid w:val="00A052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11</cp:revision>
  <dcterms:created xsi:type="dcterms:W3CDTF">2017-11-15T08:08:00Z</dcterms:created>
  <dcterms:modified xsi:type="dcterms:W3CDTF">2017-11-16T09:11:00Z</dcterms:modified>
</cp:coreProperties>
</file>