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rPr>
          <w:b/>
          <w:i w:val="0"/>
          <w:sz w:val="34"/>
        </w:rPr>
        <w:t>CodeAbstract: Privacy-Preserving Semantic Abstraction and Bidirectional Mapping for Secure LLM Code Consultation</w:t>
      </w:r>
    </w:p>
    <w:p>
      <w:pPr>
        <w:spacing w:before="0" w:after="20"/>
        <w:jc w:val="center"/>
      </w:pPr>
      <w:r>
        <w:rPr>
          <w:b w:val="0"/>
          <w:i w:val="0"/>
          <w:sz w:val="22"/>
        </w:rPr>
        <w:t>Mohammed Afrah Usman    Namita Naik    Madhavi    Sowmith Shetty</w:t>
      </w:r>
    </w:p>
    <w:p>
      <w:pPr>
        <w:spacing w:before="0" w:after="20"/>
        <w:jc w:val="center"/>
      </w:pPr>
      <w:r>
        <w:rPr>
          <w:b w:val="0"/>
          <w:i/>
          <w:sz w:val="20"/>
        </w:rPr>
        <w:t>CodeAbstract Project</w:t>
      </w:r>
    </w:p>
    <w:p>
      <w:pPr>
        <w:spacing w:before="0" w:after="200"/>
        <w:jc w:val="center"/>
      </w:pPr>
      <w:r>
        <w:rPr>
          <w:b w:val="0"/>
          <w:i w:val="0"/>
          <w:sz w:val="18"/>
        </w:rPr>
        <w:t>https://github.com/CodeAbstract27/codeabstract_1</w:t>
      </w:r>
    </w:p>
    <w:p>
      <w:pPr>
        <w:spacing w:after="120"/>
        <w:jc w:val="both"/>
      </w:pPr>
      <w:r>
        <w:rPr>
          <w:b/>
          <w:i/>
        </w:rPr>
        <w:t>Abstract—</w:t>
      </w:r>
      <w:r>
        <w:rPr>
          <w:i/>
        </w:rPr>
        <w:t>Developers increasingly consult large language models (LLMs) about proprietary source code, but doing so transmits identifiers, business constants, and hard-coded credentials to a third party that may log or memorize them. We present CodeAbstract, a command-line and web tool that rewrites source into a privacy-optimized intermediate representation before transmission and maps the model's response back onto the developer's own names and line numbers. The system implements four formal operations: syntax-tree abstraction with a scoped symbol table; a five-tier hybrid sensitivity classifier combining vendor credential-format matching, per-symbol usage-context analysis, name patterns, and Shannon-entropy scoring; collision-safe reconstruction with bidirectional line translation; and authenticated encryption of the local mapping store. We evaluate the current implementation on a 10-file synthetic corpus with 21 planted credentials, a 150-node classification dataset, and a 120-file, 24,737-line corpus drawn from the Python standard library, re-executing every metric against the shipping code. Zero of 21 planted credentials survive at any of four privacy levels; mapping accuracy is 0.9975 against a 0.85 target; abstraction preserves abstract-syntax-tree structure exactly (isomorphism 1.0) at a throughput of roughly 1,400 lines/second. A deterministic linkage attack, however, re-identifies every file in the real corpus at every privacy level (code privacy entropy about 0.0006), showing that structural preservation—the property that makes the output useful to a model—is also a near-perfect fingerprint. We report this as a scoped guarantee rather than a general one.</w:t>
      </w:r>
    </w:p>
    <w:p>
      <w:pPr>
        <w:spacing w:after="160"/>
        <w:jc w:val="both"/>
      </w:pPr>
      <w:r>
        <w:rPr>
          <w:b/>
          <w:i/>
        </w:rPr>
        <w:t>Index Terms—</w:t>
      </w:r>
      <w:r>
        <w:rPr>
          <w:i/>
        </w:rPr>
        <w:t>software privacy, large language models, program abstraction, secret detection, abstract syntax tree, re-identification, code anonymization</w:t>
      </w:r>
    </w:p>
    <w:p>
      <w:pPr>
        <w:sectPr>
          <w:pgSz w:w="12240" w:h="15840"/>
          <w:pgMar w:top="1080" w:right="893" w:bottom="1080" w:left="893" w:header="720" w:footer="720" w:gutter="0"/>
          <w:cols w:space="360" w:num="1"/>
          <w:docGrid w:linePitch="360"/>
        </w:sectPr>
      </w:pPr>
    </w:p>
    <w:p>
      <w:pPr>
        <w:spacing w:before="160" w:after="60"/>
        <w:jc w:val="center"/>
      </w:pPr>
      <w:r>
        <w:rPr>
          <w:b/>
          <w:i w:val="0"/>
          <w:sz w:val="20"/>
        </w:rPr>
        <w:t>I.  INTRODUCTION</w:t>
      </w:r>
    </w:p>
    <w:p>
      <w:pPr>
        <w:spacing w:before="0" w:after="80"/>
        <w:jc w:val="both"/>
      </w:pPr>
      <w:r>
        <w:rPr>
          <w:b w:val="0"/>
          <w:i w:val="0"/>
        </w:rPr>
        <w:t>Interactive LLMs have become a routine part of software development: they are asked to explain unfamiliar functions, locate defects, propose refactorings, and review changes. The interaction is convenient precisely because it is unstructured—the developer pastes real code and asks a real question. That convenience carries a disclosure cost that is easy to overlook. The pasted code frequently contains material the organization would not deliberately publish: internal service names, pricing and commission constants, database topology, vendor SDK imports that reveal which third parties a company depends on, and—despite years of tooling aimed at preventing it [1], [2], [3], [4]—hard-coded API keys and passwords. Once transmitted, this text is outside the developer's control. Providers log requests, and language models have been shown to memorize and regurgitate rare training strings, including credentials and personal data [5], [6], [7], [8]. Whether a given provider trains on a given request is a policy question that changes without notice; a technical control that removes the sensitive content before it leaves the machine does not depend on that policy.</w:t>
      </w:r>
    </w:p>
    <w:p>
      <w:pPr>
        <w:spacing w:before="0" w:after="80"/>
        <w:jc w:val="both"/>
      </w:pPr>
      <w:r>
        <w:rPr>
          <w:b w:val="0"/>
          <w:i w:val="0"/>
        </w:rPr>
        <w:t>Existing options are unsatisfying for this specific task. Secret scanners [3], [4] detect credentials but do not produce a usable abstracted program, and they say nothing about identifiers or business constants. Code obfuscation [9] destroys readability, which defeats the purpose of asking a model to reason about the code. Fully homomorphic or multi-party computation [10] does not apply to a hosted, instruction-tuned model. What is missing is a transformation that (i) removes proprietary tokens, (ii) preserves enough structure and control flow that a model can still give a useful answer, and (iii) is reversible, so the answer—which refers to abstract tokens and abstract line numbers—can be translated back into something the developer can act on.</w:t>
      </w:r>
    </w:p>
    <w:p>
      <w:pPr>
        <w:spacing w:before="0" w:after="80"/>
        <w:jc w:val="both"/>
      </w:pPr>
      <w:r>
        <w:rPr>
          <w:b w:val="0"/>
          <w:i w:val="0"/>
        </w:rPr>
        <w:t>This paper describes CodeAbstract, a tool built around that transformation, and an evaluation of the shipping implementation. Our contributions are:</w:t>
      </w:r>
    </w:p>
    <w:p>
      <w:pPr>
        <w:spacing w:before="0" w:after="80"/>
        <w:jc w:val="both"/>
      </w:pPr>
      <w:r>
        <w:rPr>
          <w:b w:val="0"/>
          <w:i w:val="0"/>
        </w:rPr>
        <w:t>•  A reversible abstraction pipeline that pairs syntax-tree rewriting with a scoped symbol table, so that identically named symbols in different scopes receive distinct tokens and a model's line citations are translated back to the original file (Section IV).</w:t>
      </w:r>
    </w:p>
    <w:p>
      <w:pPr>
        <w:spacing w:before="0" w:after="80"/>
        <w:jc w:val="both"/>
      </w:pPr>
      <w:r>
        <w:rPr>
          <w:b w:val="0"/>
          <w:i w:val="0"/>
        </w:rPr>
        <w:t>•  A five-tier hybrid sensitivity classifier that judges a literal by its own shape and its usage context, not only by the name bound to it, closing a class of leak in which a credential-holding string node escapes because it is syntactically distinct from the variable that names it (Section IV-C).</w:t>
      </w:r>
    </w:p>
    <w:p>
      <w:pPr>
        <w:spacing w:before="0" w:after="80"/>
        <w:jc w:val="both"/>
      </w:pPr>
      <w:r>
        <w:rPr>
          <w:b w:val="0"/>
          <w:i w:val="0"/>
        </w:rPr>
        <w:t>•  A falsifiable evaluation. We re-run seven metric pillars against the current code, and include a historical regression harness that loads a pre-remediation commit and confirms the probes fire on known defects—an evaluation that has never failed is not evidence (Sections V and VI).</w:t>
      </w:r>
    </w:p>
    <w:p>
      <w:pPr>
        <w:spacing w:before="0" w:after="80"/>
        <w:jc w:val="both"/>
      </w:pPr>
      <w:r>
        <w:rPr>
          <w:b w:val="0"/>
          <w:i w:val="0"/>
        </w:rPr>
        <w:t>•  A negative result, measured rather than assumed. A deterministic linkage attack re-identifies the source file behind an abstracted output with certainty at every privacy level. We quantify this with a normalized-entropy metric and state the resulting threat model explicitly (Section VI-F).</w:t>
      </w:r>
    </w:p>
    <w:p>
      <w:pPr>
        <w:spacing w:before="0" w:after="80"/>
        <w:jc w:val="both"/>
      </w:pPr>
      <w:r>
        <w:rPr>
          <w:b w:val="0"/>
          <w:i w:val="0"/>
        </w:rPr>
        <w:t>All numbers in this paper were produced by executing the evaluation suite against the current repository state on a Windows 11 host with CPython 3.13.7; where an earlier internal report differs, we use the re-executed value and explain the difference (Section VI-E).</w:t>
      </w:r>
    </w:p>
    <w:p>
      <w:pPr>
        <w:spacing w:before="160" w:after="60"/>
        <w:jc w:val="center"/>
      </w:pPr>
      <w:r>
        <w:rPr>
          <w:b/>
          <w:i w:val="0"/>
          <w:sz w:val="20"/>
        </w:rPr>
        <w:t>II.  RELATED WORK</w:t>
      </w:r>
    </w:p>
    <w:p>
      <w:pPr>
        <w:spacing w:before="0" w:after="80"/>
        <w:jc w:val="both"/>
      </w:pPr>
      <w:r>
        <w:rPr>
          <w:b w:val="0"/>
          <w:i w:val="0"/>
        </w:rPr>
        <w:t>Secret detection. Meli et al. [1] measured large-scale credential leakage on GitHub and characterized the formats that leak; Sinha et al. [2] proposed detection and remediation in repositories. Production scanners such as Gitleaks [3] and TruffleHog [4] match vendor regexes and entropy thresholds. CodeAbstract reuses this idea as one classifier tier, but its goal differs: a scanner flags a line for a human, whereas CodeAbstract must decide, for every node, whether to replace it and how to replace it reversibly.</w:t>
      </w:r>
    </w:p>
    <w:p>
      <w:pPr>
        <w:spacing w:before="0" w:after="80"/>
        <w:jc w:val="both"/>
      </w:pPr>
      <w:r>
        <w:rPr>
          <w:b w:val="0"/>
          <w:i w:val="0"/>
        </w:rPr>
        <w:t>Memorization and leakage in language models. Carlini et al. [5], [6] demonstrated verbatim extraction of training data from language models and showed that memorization scales with model size and duplication. Yang et al. [7] and Al-Kaswan and Izadi [11] extended this analysis to code models, and Lukas et al. [8] quantified personally identifiable information leakage. These results motivate a client-side control: CodeAbstract assumes any transmitted token may be retained.</w:t>
      </w:r>
    </w:p>
    <w:p>
      <w:pPr>
        <w:spacing w:before="0" w:after="80"/>
        <w:jc w:val="both"/>
      </w:pPr>
      <w:r>
        <w:rPr>
          <w:b w:val="0"/>
          <w:i w:val="0"/>
        </w:rPr>
        <w:t>Code models and their evaluation. CodeBERT [12] and BERT-style pre-training [13] underpin learned secret detectors; the original proposal for this project targeted a fine-tuned CodeBERT detector. We report why that component is currently unbuilt (Section VII): the available labeled data is circular, its labels derived from the same patterns a learned model would be graded against. Copilot-style code generation [14], [15], [16] is the downstream consumer CodeAbstract is designed to protect input to.</w:t>
      </w:r>
    </w:p>
    <w:p>
      <w:pPr>
        <w:spacing w:before="0" w:after="80"/>
        <w:jc w:val="both"/>
      </w:pPr>
      <w:r>
        <w:rPr>
          <w:b w:val="0"/>
          <w:i w:val="0"/>
        </w:rPr>
        <w:t>Anonymization and re-identification. Sweeney's k-anonymity [17] and differential privacy [18] frame the general problem of releasing data without releasing identity. For code specifically, Caliskan-Islam et al. [19] and Abuhamad et al. [20] showed that programmers can be re-identified from stylistic and structural features even after identifiers are removed. Our linkage attack (Section VI-F) is an instance of the same phenomenon at the file level: abstraction removes names but preserves the abstract syntax tree, and the tree is a fingerprint. Code property graphs [21] likewise treat structure as a stable, name-independent signal.</w:t>
      </w:r>
    </w:p>
    <w:p>
      <w:pPr>
        <w:spacing w:before="0" w:after="80"/>
        <w:jc w:val="both"/>
      </w:pPr>
      <w:r>
        <w:rPr>
          <w:b w:val="0"/>
          <w:i w:val="0"/>
        </w:rPr>
        <w:t>Obfuscation. Collberg et al. [9] catalogued transformations that make code hard to understand. CodeAbstract deliberately does the opposite along the structural axis—it keeps the program legible so a model can reason about it—which is exactly why the re-identification result holds.</w:t>
      </w:r>
    </w:p>
    <w:p>
      <w:pPr>
        <w:spacing w:before="160" w:after="60"/>
        <w:jc w:val="center"/>
      </w:pPr>
      <w:r>
        <w:rPr>
          <w:b/>
          <w:i w:val="0"/>
          <w:sz w:val="20"/>
        </w:rPr>
        <w:t>III.  THREAT MODEL AND PROBLEM STATEMENT</w:t>
      </w:r>
    </w:p>
    <w:p>
      <w:pPr>
        <w:spacing w:before="0" w:after="80"/>
        <w:jc w:val="both"/>
      </w:pPr>
      <w:r>
        <w:rPr>
          <w:b w:val="0"/>
          <w:i w:val="0"/>
        </w:rPr>
        <w:t>Actors. The developer holds proprietary source S and wants an answer to a question q about it. The provider hosts an LLM, receives whatever is transmitted, and may log or train on it. A passive adversary later obtains provider-side logs.</w:t>
      </w:r>
    </w:p>
    <w:p>
      <w:pPr>
        <w:spacing w:before="0" w:after="80"/>
        <w:jc w:val="both"/>
      </w:pPr>
      <w:r>
        <w:rPr>
          <w:b w:val="0"/>
          <w:i w:val="0"/>
        </w:rPr>
        <w:t>Protected assets. (1) Credential values—API keys, passwords, tokens, connection strings—whether bound to a revealing name or not, and whether spelled as str or bytes. (2) Proprietary identifiers: function, class, variable, and module names. (3) Business constants: prices, rates, fees, internal endpoints. (4) The text of the question q, which typically names the very things being hidden.</w:t>
      </w:r>
    </w:p>
    <w:p>
      <w:pPr>
        <w:spacing w:before="0" w:after="80"/>
        <w:jc w:val="both"/>
      </w:pPr>
      <w:r>
        <w:rPr>
          <w:b w:val="0"/>
          <w:i w:val="0"/>
        </w:rPr>
        <w:t>Explicitly out of scope. CodeAbstract does not hide that the developer is asking about a particular file, nor the file's control flow and structural shape. Section VI-F shows this is not a conservative disclaimer but a measured limitation: the abstracted output is linkable to its source with near-certainty. Timing, network metadata, and provider compromise in transit are also out of scope.</w:t>
      </w:r>
    </w:p>
    <w:p>
      <w:pPr>
        <w:spacing w:before="0" w:after="80"/>
        <w:jc w:val="both"/>
      </w:pPr>
      <w:r>
        <w:rPr>
          <w:b w:val="0"/>
          <w:i w:val="0"/>
        </w:rPr>
        <w:t>Requirements. A solution must (R1) emit no protected asset in the transmitted payload at any configured privacy level; (R2) preserve enough syntax and control flow that the model's answer is useful; (R3) be reversible—translate token- and line-level references in the response back to S; and (R4) keep the mapping between original and abstract names on the client, encrypted at rest.</w:t>
      </w:r>
    </w:p>
    <w:p>
      <w:pPr>
        <w:spacing w:before="160" w:after="60"/>
        <w:jc w:val="center"/>
      </w:pPr>
      <w:r>
        <w:rPr>
          <w:b/>
          <w:i w:val="0"/>
          <w:sz w:val="20"/>
        </w:rPr>
        <w:t>IV.  SYSTEM DESIGN AND METHODOLOGY</w:t>
      </w:r>
    </w:p>
    <w:p>
      <w:pPr>
        <w:spacing w:before="100" w:after="40"/>
      </w:pPr>
      <w:r>
        <w:rPr>
          <w:b w:val="0"/>
          <w:i/>
          <w:sz w:val="19"/>
        </w:rPr>
        <w:t>A.  Overview</w:t>
      </w:r>
    </w:p>
    <w:p>
      <w:pPr>
        <w:spacing w:before="0" w:after="80"/>
        <w:jc w:val="both"/>
      </w:pPr>
      <w:r>
        <w:rPr>
          <w:b w:val="0"/>
          <w:i w:val="0"/>
        </w:rPr>
        <w:t>CodeAbstract is a Python package (approximately 21,800 non-test lines, with a further 13,000 lines of tests) exposing a CLI, an interactive wizard, and an optional Flask workbench. Fig. 1 shows the pipeline. Source S and question q are parsed; a scoped symbol table is built; each node is classified; sensitive nodes are replaced with stable tokens; a context window of +/-k lines and an abstract-to-original line index are recorded; the mapping table M is encrypted with a key held outside the database; and the abstracted code S' plus abstracted question q' are sent to the provider. The response R, written in terms of tokens and abstract line numbers, is passed through RECONSTRUCT, which decrypts M, rewrites line citations, substitutes original names collision-safely, and appends a source-context block per referenced symbol.</w:t>
      </w:r>
    </w:p>
    <w:p>
      <w:pPr>
        <w:jc w:val="center"/>
      </w:pPr>
      <w:r>
        <w:drawing>
          <wp:inline xmlns:a="http://schemas.openxmlformats.org/drawingml/2006/main" xmlns:pic="http://schemas.openxmlformats.org/drawingml/2006/picture">
            <wp:extent cx="3017520" cy="1437879"/>
            <wp:docPr id="1" name="Picture 1"/>
            <wp:cNvGraphicFramePr>
              <a:graphicFrameLocks noChangeAspect="1"/>
            </wp:cNvGraphicFramePr>
            <a:graphic>
              <a:graphicData uri="http://schemas.openxmlformats.org/drawingml/2006/picture">
                <pic:pic>
                  <pic:nvPicPr>
                    <pic:cNvPr id="0" name="fig_arch.png"/>
                    <pic:cNvPicPr/>
                  </pic:nvPicPr>
                  <pic:blipFill>
                    <a:blip r:embed="rId9"/>
                    <a:stretch>
                      <a:fillRect/>
                    </a:stretch>
                  </pic:blipFill>
                  <pic:spPr>
                    <a:xfrm>
                      <a:off x="0" y="0"/>
                      <a:ext cx="3017520" cy="1437879"/>
                    </a:xfrm>
                    <a:prstGeom prst="rect"/>
                  </pic:spPr>
                </pic:pic>
              </a:graphicData>
            </a:graphic>
          </wp:inline>
        </w:drawing>
      </w:r>
    </w:p>
    <w:p>
      <w:pPr>
        <w:spacing w:before="0" w:after="100"/>
        <w:jc w:val="both"/>
      </w:pPr>
      <w:r>
        <w:rPr>
          <w:b w:val="0"/>
          <w:i w:val="0"/>
          <w:sz w:val="16"/>
        </w:rPr>
        <w:t>Fig. 1.  CodeAbstract pipeline. Only S' and q' cross to the provider; the mapping table M and key K never leave the client.</w:t>
      </w:r>
    </w:p>
    <w:p>
      <w:pPr>
        <w:spacing w:before="100" w:after="40"/>
      </w:pPr>
      <w:r>
        <w:rPr>
          <w:b w:val="0"/>
          <w:i/>
          <w:sz w:val="19"/>
        </w:rPr>
        <w:t>B.  ABSTRACT(S, k)</w:t>
      </w:r>
    </w:p>
    <w:p>
      <w:pPr>
        <w:spacing w:before="0" w:after="80"/>
        <w:jc w:val="both"/>
      </w:pPr>
      <w:r>
        <w:rPr>
          <w:b w:val="0"/>
          <w:i w:val="0"/>
        </w:rPr>
        <w:t>Python source is parsed with the standard ast module; JavaScript/TypeScript with tree-sitter [22]. For Python, ABSTRACT first builds a lexical scope tree (module -&gt; class -&gt; function -&gt; comprehension) honoring global/nonlocal and the rule that a class scope is skipped in a nested function's lookup chain. Tokens are keyed on the pair (scope, name), so alpha.result and beta.result are distinct symbols with distinct definition lines. Literals and attributes occupy separate namespaces. Each mapped symbol records its binding site and every (line, col) occurrence.</w:t>
      </w:r>
    </w:p>
    <w:p>
      <w:pPr>
        <w:spacing w:before="0" w:after="80"/>
        <w:jc w:val="both"/>
      </w:pPr>
      <w:r>
        <w:rPr>
          <w:b w:val="0"/>
          <w:i w:val="0"/>
        </w:rPr>
        <w:t>Tokens follow a typed scheme (FUNC_0, VAR_3, SECRET_1, MODULE_2, NUM_0). Distinct prefixes help the model reason about roles and keep reconstruction unambiguous; Section VI-F quantifies the information the SECRET_ prefix itself discloses.</w:t>
      </w:r>
    </w:p>
    <w:p>
      <w:pPr>
        <w:spacing w:before="0" w:after="80"/>
        <w:jc w:val="both"/>
      </w:pPr>
      <w:r>
        <w:rPr>
          <w:b w:val="0"/>
          <w:i w:val="0"/>
        </w:rPr>
        <w:t>The abstract-to-original line index is built by walking the mutated tree (which retains original line numbers) against a re-parse of the emitted code and pairing nodes until their shapes disagree; the walk stops at the first disagreement, so a partial index is possible but a wrong one is not. For the tree-sitter path, replacement is performed as byte-range edits over the original text, so formatting is preserved and the line map is the identity.</w:t>
      </w:r>
    </w:p>
    <w:p>
      <w:pPr>
        <w:spacing w:before="0" w:after="80"/>
        <w:jc w:val="both"/>
      </w:pPr>
      <w:r>
        <w:rPr>
          <w:b w:val="0"/>
          <w:i w:val="0"/>
        </w:rPr>
        <w:t>Comments are stripped by default in every language, because a comment is prose written by the code's owners and is where business context is densest. --keep-comments re-injects them, screening each one through the sensitivity classifier and rewriting any identifier named in a surviving comment to its token; re-injection is validated by re-parsing.</w:t>
      </w:r>
    </w:p>
    <w:p>
      <w:pPr>
        <w:spacing w:before="100" w:after="40"/>
      </w:pPr>
      <w:r>
        <w:rPr>
          <w:b w:val="0"/>
          <w:i/>
          <w:sz w:val="19"/>
        </w:rPr>
        <w:t>C.  CLASSIFY: five-tier hybrid detection</w:t>
      </w:r>
    </w:p>
    <w:p>
      <w:pPr>
        <w:spacing w:before="0" w:after="80"/>
        <w:jc w:val="both"/>
      </w:pPr>
      <w:r>
        <w:rPr>
          <w:b w:val="0"/>
          <w:i w:val="0"/>
        </w:rPr>
        <w:t>Each node is labeled SECRET, VALUE, or IDENTIFIER by the first tier that fires, in decreasing order of precision:</w:t>
      </w:r>
    </w:p>
    <w:p>
      <w:pPr>
        <w:spacing w:before="0" w:after="80"/>
        <w:jc w:val="both"/>
      </w:pPr>
      <w:r>
        <w:rPr>
          <w:b w:val="0"/>
          <w:i w:val="0"/>
        </w:rPr>
        <w:t>1) Vendor credential format (confidence 0.99): the literal matches one of 20 published key formats (Stripe, AWS, GitHub, Slack, Google, OpenAI, JWT, PEM, connection strings, Authorization values). str, bytes, and bytearray are coerced to text first, so a credential's protection does not depend on its literal prefix.</w:t>
      </w:r>
    </w:p>
    <w:p>
      <w:pPr>
        <w:spacing w:before="0" w:after="80"/>
        <w:jc w:val="both"/>
      </w:pPr>
      <w:r>
        <w:rPr>
          <w:b w:val="0"/>
          <w:i w:val="0"/>
        </w:rPr>
        <w:t>2) Binding context (confidence &gt;= 0.90): the per-symbol usage score reaches 0.80, or a SECRET label is inherited from an enclosing assignment, keyword argument, dict entry, comparison, or f-string template into the value bound there.</w:t>
      </w:r>
    </w:p>
    <w:p>
      <w:pPr>
        <w:spacing w:before="0" w:after="80"/>
        <w:jc w:val="both"/>
      </w:pPr>
      <w:r>
        <w:rPr>
          <w:b w:val="0"/>
          <w:i w:val="0"/>
        </w:rPr>
        <w:t>3) Name pattern (0.75 / 0.70): the identifier text matches a SECRET or business-VALUE name pattern.</w:t>
      </w:r>
    </w:p>
    <w:p>
      <w:pPr>
        <w:spacing w:before="0" w:after="80"/>
        <w:jc w:val="both"/>
      </w:pPr>
      <w:r>
        <w:rPr>
          <w:b w:val="0"/>
          <w:i w:val="0"/>
        </w:rPr>
        <w:t>4) Entropy (0.65): a long, opaque, high-Shannon-entropy literal with no vendor shape. An endpoint-literal sub-tier labels bare URLs and dotted-quad IPs as VALUE.</w:t>
      </w:r>
    </w:p>
    <w:p>
      <w:pPr>
        <w:spacing w:before="0" w:after="80"/>
        <w:jc w:val="both"/>
      </w:pPr>
      <w:r>
        <w:rPr>
          <w:b w:val="0"/>
          <w:i w:val="0"/>
        </w:rPr>
        <w:t>5) Literal type (0.55): a numeric constant, business-sensitive by default.</w:t>
      </w:r>
    </w:p>
    <w:p>
      <w:pPr>
        <w:spacing w:before="0" w:after="80"/>
        <w:jc w:val="both"/>
      </w:pPr>
      <w:r>
        <w:rPr>
          <w:b w:val="0"/>
          <w:i w:val="0"/>
        </w:rPr>
        <w:t>A decision below confidence 0.60 is recorded as a low-confidence node on the mapping entry and surfaced in the privacy report, so uncertainty reaches the user rather than being rounded away. The same tier logic runs over language-agnostic signals for the tree-sitter path, so Python and JavaScript reach identical decisions with the same confidences.</w:t>
      </w:r>
    </w:p>
    <w:p>
      <w:pPr>
        <w:spacing w:before="100" w:after="40"/>
      </w:pPr>
      <w:r>
        <w:rPr>
          <w:b w:val="0"/>
          <w:i/>
          <w:sz w:val="19"/>
        </w:rPr>
        <w:t>D.  Per-symbol usage context</w:t>
      </w:r>
    </w:p>
    <w:p>
      <w:pPr>
        <w:spacing w:before="0" w:after="80"/>
        <w:jc w:val="both"/>
      </w:pPr>
      <w:r>
        <w:rPr>
          <w:b w:val="0"/>
          <w:i w:val="0"/>
        </w:rPr>
        <w:t>Name- and shape-based tiers miss a credential that is bound to a neutral name (p, blob, payload) and never matches a vendor format. CLASSIFY therefore consumes a context score computed from thirteen weighted usage signals—environment reads (w = 0.80), Authorization header positions (0.85), password= keyword arguments (0.90), credential sinks such as compare_digest (0.85), assembled values that match a credential shape after constant folding (0.90), interpolation into a credential-shaped template (0.85), and others. Signals are pooled per resolved symbol, not per node, and combined as independent evidence (a noisy-OR):</w:t>
      </w:r>
    </w:p>
    <w:p>
      <w:pPr>
        <w:spacing w:before="60" w:after="60"/>
        <w:jc w:val="center"/>
      </w:pPr>
      <w:r>
        <w:rPr>
          <w:i/>
        </w:rPr>
        <w:t>s(x) = 1 − ∏ (1 − w_g),   g ∈ G(x)</w:t>
      </w:r>
      <w:r>
        <w:t xml:space="preserve">      (1)</w:t>
      </w:r>
    </w:p>
    <w:p>
      <w:pPr>
        <w:spacing w:before="0" w:after="80"/>
        <w:jc w:val="both"/>
      </w:pPr>
      <w:r>
        <w:rPr>
          <w:b w:val="0"/>
          <w:i w:val="0"/>
        </w:rPr>
        <w:t>where G(x) is the set of distinct signals observed for symbol x and w_g in [0, 1) its weight. Because no w_g reaches 1, no finite set of signals yields certainty; several weak signals can still cross the tier-2 threshold.</w:t>
      </w:r>
    </w:p>
    <w:p>
      <w:pPr>
        <w:spacing w:before="100" w:after="40"/>
      </w:pPr>
      <w:r>
        <w:rPr>
          <w:b w:val="0"/>
          <w:i/>
          <w:sz w:val="19"/>
        </w:rPr>
        <w:t>E.  RECONSTRUCT(R, M~, K)</w:t>
      </w:r>
    </w:p>
    <w:p>
      <w:pPr>
        <w:spacing w:before="0" w:after="80"/>
        <w:jc w:val="both"/>
      </w:pPr>
      <w:r>
        <w:rPr>
          <w:b w:val="0"/>
          <w:i w:val="0"/>
        </w:rPr>
        <w:t>Reconstruction decrypts M with the client-held key K, then (i) rewrites line citations—"line 6", "lines 5-6", "Line #6"—using the inverse of the line index, before any token substitution; (ii) substitutes original names in a single word-bounded re.sub pass with longest-token-first alternation, so VAR_1 cannot match inside VAR_10 and the output is never re-scanned; and (iii) appends a "Source Context" block of +/-k lines of original code for each referenced symbol. In the web workbench, secret values are masked in every pane, including inside source-context blocks, and unmasking requires two independent gates.</w:t>
      </w:r>
    </w:p>
    <w:p>
      <w:pPr>
        <w:spacing w:before="100" w:after="40"/>
      </w:pPr>
      <w:r>
        <w:rPr>
          <w:b w:val="0"/>
          <w:i/>
          <w:sz w:val="19"/>
        </w:rPr>
        <w:t>F.  Storage, encryption, and transparency</w:t>
      </w:r>
    </w:p>
    <w:p>
      <w:pPr>
        <w:spacing w:before="0" w:after="80"/>
        <w:jc w:val="both"/>
      </w:pPr>
      <w:r>
        <w:rPr>
          <w:b w:val="0"/>
          <w:i w:val="0"/>
        </w:rPr>
        <w:t>The mapping table is serialized and encrypted with Fernet (AES-128-CBC with HMAC-SHA256). The key is stored in the OS keychain, with a documented weaker key-directory fallback; the SQLite row holds ciphertext only. Every run appends a metadata-only record—file, provider, privacy level, token counts, detector version, never content—to a hash-chained JSONL audit log whose integrity check names the first broken link and exits non-zero, so it can gate CI. A .codeabstractignore file supports keep:, secret:, and module: directives; a keep rule is ignored if the node still classifies SECRET on its own evidence, so configuration can never place a credential on the wire.</w:t>
      </w:r>
    </w:p>
    <w:p>
      <w:pPr>
        <w:spacing w:before="160" w:after="60"/>
        <w:jc w:val="center"/>
      </w:pPr>
      <w:r>
        <w:rPr>
          <w:b/>
          <w:i w:val="0"/>
          <w:sz w:val="20"/>
        </w:rPr>
        <w:t>V.  EXPERIMENTAL SETUP</w:t>
      </w:r>
    </w:p>
    <w:p>
      <w:pPr>
        <w:spacing w:before="100" w:after="40"/>
      </w:pPr>
      <w:r>
        <w:rPr>
          <w:b w:val="0"/>
          <w:i/>
          <w:sz w:val="19"/>
        </w:rPr>
        <w:t>A.  Corpora</w:t>
      </w:r>
    </w:p>
    <w:p>
      <w:pPr>
        <w:spacing w:before="0" w:after="80"/>
        <w:jc w:val="both"/>
      </w:pPr>
      <w:r>
        <w:rPr>
          <w:b w:val="0"/>
          <w:i w:val="0"/>
        </w:rPr>
        <w:t>Synthetic (C_syn). Ten hand-written files (470 lines total, 31-48 each) spanning API clients, pricing, ML pipelines, auth, databases, and microservice routing, with 21 planted credential literals whose ground truth is known by construction. Used for leakage, reconstruction, structure, performance, and mapping.</w:t>
      </w:r>
    </w:p>
    <w:p>
      <w:pPr>
        <w:spacing w:before="0" w:after="80"/>
        <w:jc w:val="both"/>
      </w:pPr>
      <w:r>
        <w:rPr>
          <w:b w:val="0"/>
          <w:i w:val="0"/>
        </w:rPr>
        <w:t>Classification (C_cls). 150 labeled AST-node samples, 50 each SECRET/VALUE/IDENTIFIER, stratified over 11 domains.</w:t>
      </w:r>
    </w:p>
    <w:p>
      <w:pPr>
        <w:spacing w:before="0" w:after="80"/>
        <w:jc w:val="both"/>
      </w:pPr>
      <w:r>
        <w:rPr>
          <w:b w:val="0"/>
          <w:i w:val="0"/>
        </w:rPr>
        <w:t>Real (C_real). 120 files (24,737 lines, mean 206, range 51-462) discovered deterministically from the local Python 3.13.7 standard library across 18 top-level packages—code written with no knowledge of this tool. The standard library contains no credentials, so C_real is used only for structure and re-identification, not for leakage ground truth.</w:t>
      </w:r>
    </w:p>
    <w:p>
      <w:pPr>
        <w:spacing w:before="100" w:after="40"/>
      </w:pPr>
      <w:r>
        <w:rPr>
          <w:b w:val="0"/>
          <w:i/>
          <w:sz w:val="19"/>
        </w:rPr>
        <w:t>B.  Metrics</w:t>
      </w:r>
    </w:p>
    <w:p>
      <w:pPr>
        <w:spacing w:before="0" w:after="80"/>
        <w:jc w:val="both"/>
      </w:pPr>
      <w:r>
        <w:rPr>
          <w:b w:val="0"/>
          <w:i w:val="0"/>
        </w:rPr>
        <w:t>Privacy Information Ratio (PIR). For a file, let N be the set of nodes the production classifier marks sensitive and A a subset of N those whose text does not appear verbatim in S'. Then</w:t>
      </w:r>
    </w:p>
    <w:p>
      <w:pPr>
        <w:spacing w:before="60" w:after="60"/>
        <w:jc w:val="center"/>
      </w:pPr>
      <w:r>
        <w:rPr>
          <w:i/>
        </w:rPr>
        <w:t>PIR = 1 − |A| / |N|,       L_c = leaked_c / total_c</w:t>
      </w:r>
      <w:r>
        <w:t xml:space="preserve">      (2)</w:t>
      </w:r>
    </w:p>
    <w:p>
      <w:pPr>
        <w:spacing w:before="0" w:after="80"/>
        <w:jc w:val="both"/>
      </w:pPr>
      <w:r>
        <w:rPr>
          <w:b w:val="0"/>
          <w:i w:val="0"/>
        </w:rPr>
        <w:t>with per-category leakage L_c for c in {SECRET, VALUE, IDENTIFIER}. We report the corpus mean. PIR's ground truth is computed with the same context-aware path production uses; a context-blind ground truth was shown to miss 13 context-only secrets and is not used.</w:t>
      </w:r>
    </w:p>
    <w:p>
      <w:pPr>
        <w:spacing w:before="0" w:after="80"/>
        <w:jc w:val="both"/>
      </w:pPr>
      <w:r>
        <w:rPr>
          <w:b w:val="0"/>
          <w:i w:val="0"/>
        </w:rPr>
        <w:t>Planted-secret leakage. Independently of PIR, we count how many of the 21 planted credential literals in C_syn appear verbatim in S', at each of the four privacy levels. This is the number that carries the privacy claim.</w:t>
      </w:r>
    </w:p>
    <w:p>
      <w:pPr>
        <w:spacing w:before="0" w:after="80"/>
        <w:jc w:val="both"/>
      </w:pPr>
      <w:r>
        <w:rPr>
          <w:b w:val="0"/>
          <w:i w:val="0"/>
        </w:rPr>
        <w:t>Classification. Macro precision/recall/F1 and a confusion matrix over C_cls, with a dataset-integrity audit (regex-baseline accuracy, discriminative power, rationale leakage, blind-annotation share, provenance share) and a Cohen's kappa implementation [23] for future annotator agreement.</w:t>
      </w:r>
    </w:p>
    <w:p>
      <w:pPr>
        <w:spacing w:before="0" w:after="80"/>
        <w:jc w:val="both"/>
      </w:pPr>
      <w:r>
        <w:rPr>
          <w:b w:val="0"/>
          <w:i w:val="0"/>
        </w:rPr>
        <w:t>Mapping accuracy. Per file, the mean of four checks against ground truth recoverable from the source text—definition-site accuracy, occurrence accuracy, shadow resolution (fraction of names appearing in more than one scope that received distinct tokens), and line-map accuracy—then the corpus mean.</w:t>
      </w:r>
    </w:p>
    <w:p>
      <w:pPr>
        <w:spacing w:before="0" w:after="80"/>
        <w:jc w:val="both"/>
      </w:pPr>
      <w:r>
        <w:rPr>
          <w:b w:val="0"/>
          <w:i w:val="0"/>
        </w:rPr>
        <w:t>Structure. AST isomorphism (fraction of node types preserved exactly under abstraction), cyclomatic-complexity delta, and syntax-validity rate of S'.</w:t>
      </w:r>
    </w:p>
    <w:p>
      <w:pPr>
        <w:spacing w:before="0" w:after="80"/>
        <w:jc w:val="both"/>
      </w:pPr>
      <w:r>
        <w:rPr>
          <w:b w:val="0"/>
          <w:i w:val="0"/>
        </w:rPr>
        <w:t>Performance. Wall-clock abstraction, reconstruction, and encryption round-trip times, and throughput in lines/second, plus a scaling curve to about 312 lines.</w:t>
      </w:r>
    </w:p>
    <w:p>
      <w:pPr>
        <w:spacing w:before="0" w:after="80"/>
        <w:jc w:val="both"/>
      </w:pPr>
      <w:r>
        <w:rPr>
          <w:b w:val="0"/>
          <w:i w:val="0"/>
        </w:rPr>
        <w:t>Re-identification and Code Privacy Entropy (CPE). A deterministic linkage attack (Section VI-F) produces a posterior p = (p_1, ..., p_N) over candidate source files for each abstracted target. We report top-1 accuracy, mean reciprocal rank, advantage over chance</w:t>
      </w:r>
    </w:p>
    <w:p>
      <w:pPr>
        <w:spacing w:before="60" w:after="60"/>
        <w:jc w:val="center"/>
      </w:pPr>
      <w:r>
        <w:rPr>
          <w:i/>
        </w:rPr>
        <w:t>adv = (acc_top1 − 1/N) / (1 − 1/N)</w:t>
      </w:r>
      <w:r>
        <w:t xml:space="preserve">      (3)</w:t>
      </w:r>
    </w:p>
    <w:p>
      <w:pPr>
        <w:spacing w:before="0" w:after="80"/>
        <w:jc w:val="both"/>
      </w:pPr>
      <w:r>
        <w:rPr>
          <w:b w:val="0"/>
          <w:i w:val="0"/>
        </w:rPr>
        <w:t>and the normalized Shannon entropy [24] of the posterior,</w:t>
      </w:r>
    </w:p>
    <w:p>
      <w:pPr>
        <w:spacing w:before="60" w:after="60"/>
        <w:jc w:val="center"/>
      </w:pPr>
      <w:r>
        <w:rPr>
          <w:i/>
        </w:rPr>
        <w:t>CPE = ( − Σ p_i log2 p_i ) / log2 N  ∈ [0, 1]</w:t>
      </w:r>
      <w:r>
        <w:t xml:space="preserve">      (4)</w:t>
      </w:r>
    </w:p>
    <w:p>
      <w:pPr>
        <w:spacing w:before="0" w:after="80"/>
        <w:jc w:val="both"/>
      </w:pPr>
      <w:r>
        <w:rPr>
          <w:b w:val="0"/>
          <w:i w:val="0"/>
        </w:rPr>
        <w:t>where 1 means the attacker learned nothing and 0 means certainty.</w:t>
      </w:r>
    </w:p>
    <w:p>
      <w:pPr>
        <w:spacing w:before="100" w:after="40"/>
      </w:pPr>
      <w:r>
        <w:rPr>
          <w:b w:val="0"/>
          <w:i/>
          <w:sz w:val="19"/>
        </w:rPr>
        <w:t>C.  Falsifiability harness</w:t>
      </w:r>
    </w:p>
    <w:p>
      <w:pPr>
        <w:spacing w:before="0" w:after="80"/>
        <w:jc w:val="both"/>
      </w:pPr>
      <w:r>
        <w:rPr>
          <w:b w:val="0"/>
          <w:i w:val="0"/>
        </w:rPr>
        <w:t>A historical regression harness uses git archive to load the abstraction engine from a named pre-remediation commit into a scratch directory (the working tree is untouched) and runs five defect probes transcribed from the project's audit: verbatim secret transmission, the VAR_1/VAR_10 substitution collision, import-name leakage, scope-blind token collapse, and a no-op strict privacy level. The Phase-3 exit criterion is that the suite reproduces every one of these on the old commit and none on the current engine.</w:t>
      </w:r>
    </w:p>
    <w:p>
      <w:pPr>
        <w:spacing w:before="160" w:after="60"/>
        <w:jc w:val="center"/>
      </w:pPr>
      <w:r>
        <w:rPr>
          <w:b/>
          <w:i w:val="0"/>
          <w:sz w:val="20"/>
        </w:rPr>
        <w:t>VI.  RESULTS AND DISCUSSION</w:t>
      </w:r>
    </w:p>
    <w:p>
      <w:pPr>
        <w:spacing w:before="0" w:after="80"/>
        <w:jc w:val="both"/>
      </w:pPr>
      <w:r>
        <w:rPr>
          <w:b w:val="0"/>
          <w:i w:val="0"/>
        </w:rPr>
        <w:t>Table I collects the headline figures at privacy level high; all targets are met except where noted.</w:t>
      </w:r>
    </w:p>
    <w:p>
      <w:pPr>
        <w:spacing w:before="80" w:after="0"/>
        <w:jc w:val="center"/>
      </w:pPr>
      <w:r>
        <w:rPr>
          <w:b/>
          <w:i w:val="0"/>
          <w:sz w:val="16"/>
        </w:rPr>
        <w:t>TABLE I</w:t>
      </w:r>
    </w:p>
    <w:p>
      <w:pPr>
        <w:spacing w:before="0" w:after="40"/>
        <w:jc w:val="center"/>
      </w:pPr>
      <w:r>
        <w:rPr>
          <w:b w:val="0"/>
          <w:i w:val="0"/>
          <w:sz w:val="16"/>
        </w:rPr>
        <w:t>Summary of re-executed metrics (privacy level high, CPython 3.13.7). Adversarial rows use C_real.</w:t>
      </w:r>
    </w:p>
    <w:tbl>
      <w:tblPr>
        <w:tblStyle w:val="TableGrid"/>
        <w:tblW w:type="auto" w:w="0"/>
        <w:jc w:val="center"/>
        <w:tblLook w:firstColumn="1" w:firstRow="1" w:lastColumn="0" w:lastRow="0" w:noHBand="0" w:noVBand="1" w:val="04A0"/>
      </w:tblPr>
      <w:tblGrid>
        <w:gridCol w:w="3485"/>
        <w:gridCol w:w="3485"/>
        <w:gridCol w:w="3485"/>
      </w:tblGrid>
      <w:tr>
        <w:tc>
          <w:tcPr>
            <w:tcW w:type="dxa" w:w="3485"/>
          </w:tcPr>
          <w:p>
            <w:r/>
            <w:r>
              <w:rPr>
                <w:rFonts w:ascii="Times New Roman" w:hAnsi="Times New Roman"/>
                <w:b/>
                <w:sz w:val="15"/>
              </w:rPr>
              <w:t>Metric</w:t>
            </w:r>
          </w:p>
        </w:tc>
        <w:tc>
          <w:tcPr>
            <w:tcW w:type="dxa" w:w="3485"/>
          </w:tcPr>
          <w:p>
            <w:pPr>
              <w:jc w:val="center"/>
            </w:pPr>
            <w:r/>
            <w:r>
              <w:rPr>
                <w:rFonts w:ascii="Times New Roman" w:hAnsi="Times New Roman"/>
                <w:b/>
                <w:sz w:val="15"/>
              </w:rPr>
              <w:t>Value</w:t>
            </w:r>
          </w:p>
        </w:tc>
        <w:tc>
          <w:tcPr>
            <w:tcW w:type="dxa" w:w="3485"/>
          </w:tcPr>
          <w:p>
            <w:pPr>
              <w:jc w:val="center"/>
            </w:pPr>
            <w:r/>
            <w:r>
              <w:rPr>
                <w:rFonts w:ascii="Times New Roman" w:hAnsi="Times New Roman"/>
                <w:b/>
                <w:sz w:val="15"/>
              </w:rPr>
              <w:t>Target</w:t>
            </w:r>
          </w:p>
        </w:tc>
      </w:tr>
      <w:tr>
        <w:tc>
          <w:tcPr>
            <w:tcW w:type="dxa" w:w="3485"/>
          </w:tcPr>
          <w:p>
            <w:r/>
            <w:r>
              <w:rPr>
                <w:rFonts w:ascii="Times New Roman" w:hAnsi="Times New Roman"/>
                <w:sz w:val="15"/>
              </w:rPr>
              <w:t>Planted credentials surviving (C_syn)</w:t>
            </w:r>
          </w:p>
        </w:tc>
        <w:tc>
          <w:tcPr>
            <w:tcW w:type="dxa" w:w="3485"/>
          </w:tcPr>
          <w:p>
            <w:pPr>
              <w:jc w:val="center"/>
            </w:pPr>
            <w:r/>
            <w:r>
              <w:rPr>
                <w:rFonts w:ascii="Times New Roman" w:hAnsi="Times New Roman"/>
                <w:sz w:val="15"/>
              </w:rPr>
              <w:t>0 / 21</w:t>
            </w:r>
          </w:p>
        </w:tc>
        <w:tc>
          <w:tcPr>
            <w:tcW w:type="dxa" w:w="3485"/>
          </w:tcPr>
          <w:p>
            <w:pPr>
              <w:jc w:val="center"/>
            </w:pPr>
            <w:r/>
            <w:r>
              <w:rPr>
                <w:rFonts w:ascii="Times New Roman" w:hAnsi="Times New Roman"/>
                <w:sz w:val="15"/>
              </w:rPr>
              <w:t>0</w:t>
            </w:r>
          </w:p>
        </w:tc>
      </w:tr>
      <w:tr>
        <w:tc>
          <w:tcPr>
            <w:tcW w:type="dxa" w:w="3485"/>
          </w:tcPr>
          <w:p>
            <w:r/>
            <w:r>
              <w:rPr>
                <w:rFonts w:ascii="Times New Roman" w:hAnsi="Times New Roman"/>
                <w:sz w:val="15"/>
              </w:rPr>
              <w:t>Privacy Information Ratio (mean)</w:t>
            </w:r>
          </w:p>
        </w:tc>
        <w:tc>
          <w:tcPr>
            <w:tcW w:type="dxa" w:w="3485"/>
          </w:tcPr>
          <w:p>
            <w:pPr>
              <w:jc w:val="center"/>
            </w:pPr>
            <w:r/>
            <w:r>
              <w:rPr>
                <w:rFonts w:ascii="Times New Roman" w:hAnsi="Times New Roman"/>
                <w:sz w:val="15"/>
              </w:rPr>
              <w:t>0.0024</w:t>
            </w:r>
          </w:p>
        </w:tc>
        <w:tc>
          <w:tcPr>
            <w:tcW w:type="dxa" w:w="3485"/>
          </w:tcPr>
          <w:p>
            <w:pPr>
              <w:jc w:val="center"/>
            </w:pPr>
            <w:r/>
            <w:r>
              <w:rPr>
                <w:rFonts w:ascii="Times New Roman" w:hAnsi="Times New Roman"/>
                <w:sz w:val="15"/>
              </w:rPr>
              <w:t>&lt;= 0.05</w:t>
            </w:r>
          </w:p>
        </w:tc>
      </w:tr>
      <w:tr>
        <w:tc>
          <w:tcPr>
            <w:tcW w:type="dxa" w:w="3485"/>
          </w:tcPr>
          <w:p>
            <w:r/>
            <w:r>
              <w:rPr>
                <w:rFonts w:ascii="Times New Roman" w:hAnsi="Times New Roman"/>
                <w:sz w:val="15"/>
              </w:rPr>
              <w:t xml:space="preserve">  SECRET / VALUE leakage</w:t>
            </w:r>
          </w:p>
        </w:tc>
        <w:tc>
          <w:tcPr>
            <w:tcW w:type="dxa" w:w="3485"/>
          </w:tcPr>
          <w:p>
            <w:pPr>
              <w:jc w:val="center"/>
            </w:pPr>
            <w:r/>
            <w:r>
              <w:rPr>
                <w:rFonts w:ascii="Times New Roman" w:hAnsi="Times New Roman"/>
                <w:sz w:val="15"/>
              </w:rPr>
              <w:t>0.0% / 0.24%</w:t>
            </w:r>
          </w:p>
        </w:tc>
        <w:tc>
          <w:tcPr>
            <w:tcW w:type="dxa" w:w="3485"/>
          </w:tcPr>
          <w:p>
            <w:pPr>
              <w:jc w:val="center"/>
            </w:pPr>
            <w:r/>
            <w:r>
              <w:rPr>
                <w:rFonts w:ascii="Times New Roman" w:hAnsi="Times New Roman"/>
                <w:sz w:val="15"/>
              </w:rPr>
              <w:t>-</w:t>
            </w:r>
          </w:p>
        </w:tc>
      </w:tr>
      <w:tr>
        <w:tc>
          <w:tcPr>
            <w:tcW w:type="dxa" w:w="3485"/>
          </w:tcPr>
          <w:p>
            <w:r/>
            <w:r>
              <w:rPr>
                <w:rFonts w:ascii="Times New Roman" w:hAnsi="Times New Roman"/>
                <w:sz w:val="15"/>
              </w:rPr>
              <w:t>Token hit rate / replacement accuracy</w:t>
            </w:r>
          </w:p>
        </w:tc>
        <w:tc>
          <w:tcPr>
            <w:tcW w:type="dxa" w:w="3485"/>
          </w:tcPr>
          <w:p>
            <w:pPr>
              <w:jc w:val="center"/>
            </w:pPr>
            <w:r/>
            <w:r>
              <w:rPr>
                <w:rFonts w:ascii="Times New Roman" w:hAnsi="Times New Roman"/>
                <w:sz w:val="15"/>
              </w:rPr>
              <w:t>100% / 100%</w:t>
            </w:r>
          </w:p>
        </w:tc>
        <w:tc>
          <w:tcPr>
            <w:tcW w:type="dxa" w:w="3485"/>
          </w:tcPr>
          <w:p>
            <w:pPr>
              <w:jc w:val="center"/>
            </w:pPr>
            <w:r/>
            <w:r>
              <w:rPr>
                <w:rFonts w:ascii="Times New Roman" w:hAnsi="Times New Roman"/>
                <w:sz w:val="15"/>
              </w:rPr>
              <w:t>&gt;= 95%</w:t>
            </w:r>
          </w:p>
        </w:tc>
      </w:tr>
      <w:tr>
        <w:tc>
          <w:tcPr>
            <w:tcW w:type="dxa" w:w="3485"/>
          </w:tcPr>
          <w:p>
            <w:r/>
            <w:r>
              <w:rPr>
                <w:rFonts w:ascii="Times New Roman" w:hAnsi="Times New Roman"/>
                <w:sz w:val="15"/>
              </w:rPr>
              <w:t>Classification macro-F1</w:t>
            </w:r>
          </w:p>
        </w:tc>
        <w:tc>
          <w:tcPr>
            <w:tcW w:type="dxa" w:w="3485"/>
          </w:tcPr>
          <w:p>
            <w:pPr>
              <w:jc w:val="center"/>
            </w:pPr>
            <w:r/>
            <w:r>
              <w:rPr>
                <w:rFonts w:ascii="Times New Roman" w:hAnsi="Times New Roman"/>
                <w:sz w:val="15"/>
              </w:rPr>
              <w:t>0.8937</w:t>
            </w:r>
          </w:p>
        </w:tc>
        <w:tc>
          <w:tcPr>
            <w:tcW w:type="dxa" w:w="3485"/>
          </w:tcPr>
          <w:p>
            <w:pPr>
              <w:jc w:val="center"/>
            </w:pPr>
            <w:r/>
            <w:r>
              <w:rPr>
                <w:rFonts w:ascii="Times New Roman" w:hAnsi="Times New Roman"/>
                <w:sz w:val="15"/>
              </w:rPr>
              <w:t>&gt;= 0.85</w:t>
            </w:r>
          </w:p>
        </w:tc>
      </w:tr>
      <w:tr>
        <w:tc>
          <w:tcPr>
            <w:tcW w:type="dxa" w:w="3485"/>
          </w:tcPr>
          <w:p>
            <w:r/>
            <w:r>
              <w:rPr>
                <w:rFonts w:ascii="Times New Roman" w:hAnsi="Times New Roman"/>
                <w:sz w:val="15"/>
              </w:rPr>
              <w:t>AST isomorphism</w:t>
            </w:r>
          </w:p>
        </w:tc>
        <w:tc>
          <w:tcPr>
            <w:tcW w:type="dxa" w:w="3485"/>
          </w:tcPr>
          <w:p>
            <w:pPr>
              <w:jc w:val="center"/>
            </w:pPr>
            <w:r/>
            <w:r>
              <w:rPr>
                <w:rFonts w:ascii="Times New Roman" w:hAnsi="Times New Roman"/>
                <w:sz w:val="15"/>
              </w:rPr>
              <w:t>1.0000</w:t>
            </w:r>
          </w:p>
        </w:tc>
        <w:tc>
          <w:tcPr>
            <w:tcW w:type="dxa" w:w="3485"/>
          </w:tcPr>
          <w:p>
            <w:pPr>
              <w:jc w:val="center"/>
            </w:pPr>
            <w:r/>
            <w:r>
              <w:rPr>
                <w:rFonts w:ascii="Times New Roman" w:hAnsi="Times New Roman"/>
                <w:sz w:val="15"/>
              </w:rPr>
              <w:t>1.00</w:t>
            </w:r>
          </w:p>
        </w:tc>
      </w:tr>
      <w:tr>
        <w:tc>
          <w:tcPr>
            <w:tcW w:type="dxa" w:w="3485"/>
          </w:tcPr>
          <w:p>
            <w:r/>
            <w:r>
              <w:rPr>
                <w:rFonts w:ascii="Times New Roman" w:hAnsi="Times New Roman"/>
                <w:sz w:val="15"/>
              </w:rPr>
              <w:t>Syntax validity of S'</w:t>
            </w:r>
          </w:p>
        </w:tc>
        <w:tc>
          <w:tcPr>
            <w:tcW w:type="dxa" w:w="3485"/>
          </w:tcPr>
          <w:p>
            <w:pPr>
              <w:jc w:val="center"/>
            </w:pPr>
            <w:r/>
            <w:r>
              <w:rPr>
                <w:rFonts w:ascii="Times New Roman" w:hAnsi="Times New Roman"/>
                <w:sz w:val="15"/>
              </w:rPr>
              <w:t>100%</w:t>
            </w:r>
          </w:p>
        </w:tc>
        <w:tc>
          <w:tcPr>
            <w:tcW w:type="dxa" w:w="3485"/>
          </w:tcPr>
          <w:p>
            <w:pPr>
              <w:jc w:val="center"/>
            </w:pPr>
            <w:r/>
            <w:r>
              <w:rPr>
                <w:rFonts w:ascii="Times New Roman" w:hAnsi="Times New Roman"/>
                <w:sz w:val="15"/>
              </w:rPr>
              <w:t>100%</w:t>
            </w:r>
          </w:p>
        </w:tc>
      </w:tr>
      <w:tr>
        <w:tc>
          <w:tcPr>
            <w:tcW w:type="dxa" w:w="3485"/>
          </w:tcPr>
          <w:p>
            <w:r/>
            <w:r>
              <w:rPr>
                <w:rFonts w:ascii="Times New Roman" w:hAnsi="Times New Roman"/>
                <w:sz w:val="15"/>
              </w:rPr>
              <w:t>Mapping accuracy</w:t>
            </w:r>
          </w:p>
        </w:tc>
        <w:tc>
          <w:tcPr>
            <w:tcW w:type="dxa" w:w="3485"/>
          </w:tcPr>
          <w:p>
            <w:pPr>
              <w:jc w:val="center"/>
            </w:pPr>
            <w:r/>
            <w:r>
              <w:rPr>
                <w:rFonts w:ascii="Times New Roman" w:hAnsi="Times New Roman"/>
                <w:sz w:val="15"/>
              </w:rPr>
              <w:t>0.9975</w:t>
            </w:r>
          </w:p>
        </w:tc>
        <w:tc>
          <w:tcPr>
            <w:tcW w:type="dxa" w:w="3485"/>
          </w:tcPr>
          <w:p>
            <w:pPr>
              <w:jc w:val="center"/>
            </w:pPr>
            <w:r/>
            <w:r>
              <w:rPr>
                <w:rFonts w:ascii="Times New Roman" w:hAnsi="Times New Roman"/>
                <w:sz w:val="15"/>
              </w:rPr>
              <w:t>&gt;= 0.85</w:t>
            </w:r>
          </w:p>
        </w:tc>
      </w:tr>
      <w:tr>
        <w:tc>
          <w:tcPr>
            <w:tcW w:type="dxa" w:w="3485"/>
          </w:tcPr>
          <w:p>
            <w:r/>
            <w:r>
              <w:rPr>
                <w:rFonts w:ascii="Times New Roman" w:hAnsi="Times New Roman"/>
                <w:sz w:val="15"/>
              </w:rPr>
              <w:t>Throughput (lines/s)</w:t>
            </w:r>
          </w:p>
        </w:tc>
        <w:tc>
          <w:tcPr>
            <w:tcW w:type="dxa" w:w="3485"/>
          </w:tcPr>
          <w:p>
            <w:pPr>
              <w:jc w:val="center"/>
            </w:pPr>
            <w:r/>
            <w:r>
              <w:rPr>
                <w:rFonts w:ascii="Times New Roman" w:hAnsi="Times New Roman"/>
                <w:sz w:val="15"/>
              </w:rPr>
              <w:t>~1,340</w:t>
            </w:r>
          </w:p>
        </w:tc>
        <w:tc>
          <w:tcPr>
            <w:tcW w:type="dxa" w:w="3485"/>
          </w:tcPr>
          <w:p>
            <w:pPr>
              <w:jc w:val="center"/>
            </w:pPr>
            <w:r/>
            <w:r>
              <w:rPr>
                <w:rFonts w:ascii="Times New Roman" w:hAnsi="Times New Roman"/>
                <w:sz w:val="15"/>
              </w:rPr>
              <w:t>&gt;= 1,000</w:t>
            </w:r>
          </w:p>
        </w:tc>
      </w:tr>
      <w:tr>
        <w:tc>
          <w:tcPr>
            <w:tcW w:type="dxa" w:w="3485"/>
          </w:tcPr>
          <w:p>
            <w:r/>
            <w:r>
              <w:rPr>
                <w:rFonts w:ascii="Times New Roman" w:hAnsi="Times New Roman"/>
                <w:sz w:val="15"/>
              </w:rPr>
              <w:t>Re-identification top-1 (all levels)</w:t>
            </w:r>
          </w:p>
        </w:tc>
        <w:tc>
          <w:tcPr>
            <w:tcW w:type="dxa" w:w="3485"/>
          </w:tcPr>
          <w:p>
            <w:pPr>
              <w:jc w:val="center"/>
            </w:pPr>
            <w:r/>
            <w:r>
              <w:rPr>
                <w:rFonts w:ascii="Times New Roman" w:hAnsi="Times New Roman"/>
                <w:sz w:val="15"/>
              </w:rPr>
              <w:t>1.000</w:t>
            </w:r>
          </w:p>
        </w:tc>
        <w:tc>
          <w:tcPr>
            <w:tcW w:type="dxa" w:w="3485"/>
          </w:tcPr>
          <w:p>
            <w:pPr>
              <w:jc w:val="center"/>
            </w:pPr>
            <w:r/>
            <w:r>
              <w:rPr>
                <w:rFonts w:ascii="Times New Roman" w:hAnsi="Times New Roman"/>
                <w:sz w:val="15"/>
              </w:rPr>
              <w:t>-</w:t>
            </w:r>
          </w:p>
        </w:tc>
      </w:tr>
      <w:tr>
        <w:tc>
          <w:tcPr>
            <w:tcW w:type="dxa" w:w="3485"/>
          </w:tcPr>
          <w:p>
            <w:r/>
            <w:r>
              <w:rPr>
                <w:rFonts w:ascii="Times New Roman" w:hAnsi="Times New Roman"/>
                <w:sz w:val="15"/>
              </w:rPr>
              <w:t>Code Privacy Entropy (all levels)</w:t>
            </w:r>
          </w:p>
        </w:tc>
        <w:tc>
          <w:tcPr>
            <w:tcW w:type="dxa" w:w="3485"/>
          </w:tcPr>
          <w:p>
            <w:pPr>
              <w:jc w:val="center"/>
            </w:pPr>
            <w:r/>
            <w:r>
              <w:rPr>
                <w:rFonts w:ascii="Times New Roman" w:hAnsi="Times New Roman"/>
                <w:sz w:val="15"/>
              </w:rPr>
              <w:t>0.0006</w:t>
            </w:r>
          </w:p>
        </w:tc>
        <w:tc>
          <w:tcPr>
            <w:tcW w:type="dxa" w:w="3485"/>
          </w:tcPr>
          <w:p>
            <w:pPr>
              <w:jc w:val="center"/>
            </w:pPr>
            <w:r/>
            <w:r>
              <w:rPr>
                <w:rFonts w:ascii="Times New Roman" w:hAnsi="Times New Roman"/>
                <w:sz w:val="15"/>
              </w:rPr>
              <w:t>-</w:t>
            </w:r>
          </w:p>
        </w:tc>
      </w:tr>
      <w:tr>
        <w:tc>
          <w:tcPr>
            <w:tcW w:type="dxa" w:w="3485"/>
          </w:tcPr>
          <w:p>
            <w:r/>
            <w:r>
              <w:rPr>
                <w:rFonts w:ascii="Times New Roman" w:hAnsi="Times New Roman"/>
                <w:sz w:val="15"/>
              </w:rPr>
              <w:t>Regression probes: old / current</w:t>
            </w:r>
          </w:p>
        </w:tc>
        <w:tc>
          <w:tcPr>
            <w:tcW w:type="dxa" w:w="3485"/>
          </w:tcPr>
          <w:p>
            <w:pPr>
              <w:jc w:val="center"/>
            </w:pPr>
            <w:r/>
            <w:r>
              <w:rPr>
                <w:rFonts w:ascii="Times New Roman" w:hAnsi="Times New Roman"/>
                <w:sz w:val="15"/>
              </w:rPr>
              <w:t>5/5,  0/5</w:t>
            </w:r>
          </w:p>
        </w:tc>
        <w:tc>
          <w:tcPr>
            <w:tcW w:type="dxa" w:w="3485"/>
          </w:tcPr>
          <w:p>
            <w:pPr>
              <w:jc w:val="center"/>
            </w:pPr>
            <w:r/>
            <w:r>
              <w:rPr>
                <w:rFonts w:ascii="Times New Roman" w:hAnsi="Times New Roman"/>
                <w:sz w:val="15"/>
              </w:rPr>
              <w:t>-</w:t>
            </w:r>
          </w:p>
        </w:tc>
      </w:tr>
      <w:tr>
        <w:tc>
          <w:tcPr>
            <w:tcW w:type="dxa" w:w="3485"/>
          </w:tcPr>
          <w:p>
            <w:r/>
            <w:r>
              <w:rPr>
                <w:rFonts w:ascii="Times New Roman" w:hAnsi="Times New Roman"/>
                <w:sz w:val="15"/>
              </w:rPr>
              <w:t>Backend test suite</w:t>
            </w:r>
          </w:p>
        </w:tc>
        <w:tc>
          <w:tcPr>
            <w:tcW w:type="dxa" w:w="3485"/>
          </w:tcPr>
          <w:p>
            <w:pPr>
              <w:jc w:val="center"/>
            </w:pPr>
            <w:r/>
            <w:r>
              <w:rPr>
                <w:rFonts w:ascii="Times New Roman" w:hAnsi="Times New Roman"/>
                <w:sz w:val="15"/>
              </w:rPr>
              <w:t>1,148 pass</w:t>
            </w:r>
          </w:p>
        </w:tc>
        <w:tc>
          <w:tcPr>
            <w:tcW w:type="dxa" w:w="3485"/>
          </w:tcPr>
          <w:p>
            <w:pPr>
              <w:jc w:val="center"/>
            </w:pPr>
            <w:r/>
            <w:r>
              <w:rPr>
                <w:rFonts w:ascii="Times New Roman" w:hAnsi="Times New Roman"/>
                <w:sz w:val="15"/>
              </w:rPr>
              <w:t>-</w:t>
            </w:r>
          </w:p>
        </w:tc>
      </w:tr>
    </w:tbl>
    <w:p>
      <w:pPr>
        <w:spacing w:before="0" w:after="40"/>
      </w:pPr>
      <w:r>
        <w:rPr>
          <w:b w:val="0"/>
          <w:i w:val="0"/>
          <w:sz w:val="8"/>
        </w:rPr>
      </w:r>
    </w:p>
    <w:p>
      <w:pPr>
        <w:spacing w:before="100" w:after="40"/>
      </w:pPr>
      <w:r>
        <w:rPr>
          <w:b w:val="0"/>
          <w:i/>
          <w:sz w:val="19"/>
        </w:rPr>
        <w:t>A.  Privacy leakage</w:t>
      </w:r>
    </w:p>
    <w:p>
      <w:pPr>
        <w:spacing w:before="0" w:after="80"/>
        <w:jc w:val="both"/>
      </w:pPr>
      <w:r>
        <w:rPr>
          <w:b w:val="0"/>
          <w:i w:val="0"/>
        </w:rPr>
        <w:t>At every privacy level, 0 of 21 planted credential literals survive abstraction, down from 8 of 21 at the low and medium levels of the pre-remediation engine. The three mechanisms responsible are label inheritance from a binding to the literal bound to it, whole-template classification of f-strings (a credential split across a literal fragment and an interpolation is flattened to postgres://admin:{}@host/db and matched as one value), and text coercion so that b"sk_live_..." is treated exactly as "sk_live_...". Mean PIR is 0.0024. The only non-zero component at high is identifier leakage at 3.0%, which is allowlisted standard-library and well-known-package names deliberately preserved at their use sites; preserving them removes an alignment channel in which a surviving import would pin a token. PIR is reported because the proposal specified it, but we treat the planted-secret count as authoritative: PIR's denominator is what the classifier flagged, so it is structurally blind to a missed secret, and it did not move—0.0024 before and after—across a body of remediation that fixed twelve reproduced leak paths.</w:t>
      </w:r>
    </w:p>
    <w:p>
      <w:pPr>
        <w:spacing w:before="100" w:after="40"/>
      </w:pPr>
      <w:r>
        <w:rPr>
          <w:b w:val="0"/>
          <w:i/>
          <w:sz w:val="19"/>
        </w:rPr>
        <w:t>B.  Classification</w:t>
      </w:r>
    </w:p>
    <w:p>
      <w:pPr>
        <w:spacing w:before="0" w:after="80"/>
        <w:jc w:val="both"/>
      </w:pPr>
      <w:r>
        <w:rPr>
          <w:b w:val="0"/>
          <w:i w:val="0"/>
        </w:rPr>
        <w:t>Macro-F1 on C_cls is 0.8937 (accuracy 0.8933, 134/150), with per-class F1 of 0.970 (SECRET), 0.863 (VALUE), and 0.849 (IDENTIFIER); the confusion is almost entirely VALUE&lt;-&gt;IDENTIFIER (13 of 16 errors), and no VALUE or IDENTIFIER is misread as SECRET more than once. This figure must be read with its dataset-integrity audit: a naive name-regex already scores 0.8933 on this set by construction, only 16 of 150 items can separate two detectors, 61% of the labels are justified by quoting the pattern list, and none were annotated blind or carry provenance. We therefore do not claim 0.89 as evidence that the hybrid classifier improves on a regex; we claim only that it does not regress, and we demonstrate context-tier capability separately with seven behavioral fixtures using neutral names that a name-regex scores 0/7 on and the context detector redacts 7/7, with 0/3 false positives on benign controls.</w:t>
      </w:r>
    </w:p>
    <w:p>
      <w:pPr>
        <w:spacing w:before="100" w:after="40"/>
      </w:pPr>
      <w:r>
        <w:rPr>
          <w:b w:val="0"/>
          <w:i/>
          <w:sz w:val="19"/>
        </w:rPr>
        <w:t>C.  Mapping and reconstruction</w:t>
      </w:r>
    </w:p>
    <w:p>
      <w:pPr>
        <w:spacing w:before="0" w:after="80"/>
        <w:jc w:val="both"/>
      </w:pPr>
      <w:r>
        <w:rPr>
          <w:b w:val="0"/>
          <w:i w:val="0"/>
        </w:rPr>
        <w:t>Mapping accuracy is 0.9975 against the 0.85 target (definition-site 0.9946, occurrence 0.9955, shadow resolution 1.000 over 12 shadowed names in C_syn, line-map 1.000). Shadow resolution of 1.000 is the concrete payoff of the scoped symbol table: a flat name-to-token cache scores 0 on that check by definition, and a model reporting a bug in the second of two identically named locals would send the developer to the wrong function. Reconstruction token hit rate and replacement accuracy are both 100%, and every reconstructed response carries source-context blocks. Character-level round-trip similarity of S against abstract-then-reconstruct is only 0.30, but this is expected and by design: comments are stripped as policy and names are replaced, so low literal similarity is the intended behavior, not a fidelity defect; the meaningful fidelity signals are the token- and line-level accuracies, which are exact.</w:t>
      </w:r>
    </w:p>
    <w:p>
      <w:pPr>
        <w:spacing w:before="100" w:after="40"/>
      </w:pPr>
      <w:r>
        <w:rPr>
          <w:b w:val="0"/>
          <w:i/>
          <w:sz w:val="19"/>
        </w:rPr>
        <w:t>D.  Structure preservation</w:t>
      </w:r>
    </w:p>
    <w:p>
      <w:pPr>
        <w:spacing w:before="0" w:after="80"/>
        <w:jc w:val="both"/>
      </w:pPr>
      <w:r>
        <w:rPr>
          <w:b w:val="0"/>
          <w:i w:val="0"/>
        </w:rPr>
        <w:t>AST isomorphism is 1.0000 on both corpora, cyclomatic-complexity delta is 0, and S' is valid in 100% of cases (470 abstraction runs on C_syn across four levels, plus 120 files of C_real). Token-count ratio is 0.9967, i.e. abstraction is close to one-token-for-one. This is what makes the output useful to a model—and, as the next subsection shows, what makes it linkable.</w:t>
      </w:r>
    </w:p>
    <w:p>
      <w:pPr>
        <w:spacing w:before="100" w:after="40"/>
      </w:pPr>
      <w:r>
        <w:rPr>
          <w:b w:val="0"/>
          <w:i/>
          <w:sz w:val="19"/>
        </w:rPr>
        <w:t>E.  Performance</w:t>
      </w:r>
    </w:p>
    <w:p>
      <w:pPr>
        <w:spacing w:before="0" w:after="80"/>
        <w:jc w:val="both"/>
      </w:pPr>
      <w:r>
        <w:rPr>
          <w:b w:val="0"/>
          <w:i w:val="0"/>
        </w:rPr>
        <w:t>On the evaluation host, mean abstraction time is 29 ms per synthetic file, encryption round-trip 3.5 ms, and throughput 1,336-1,560 lines/second across the four privacy levels (1,336 at high). The scaling curve is linear to 312 lines (Table II), so per-1000-line latency is about 0.75 s against a 3 s interactive budget. An earlier internal report recorded 5,336 lines/second. We attribute the difference to (i) a slower evaluation host and (ii) linear-time scope- and context-analysis pre-passes and regular-expression hardening (bounded quantifiers to prevent catastrophic backtracking) added during remediation, which impose a constant per-node cost the pre-remediation engine did not pay. The re-executed figure still clears the 1,000 lines/second target with margin, and we use it rather than the faster historical number.</w:t>
      </w:r>
    </w:p>
    <w:p>
      <w:pPr>
        <w:spacing w:before="80" w:after="0"/>
        <w:jc w:val="center"/>
      </w:pPr>
      <w:r>
        <w:rPr>
          <w:b/>
          <w:i w:val="0"/>
          <w:sz w:val="16"/>
        </w:rPr>
        <w:t>TABLE II</w:t>
      </w:r>
    </w:p>
    <w:p>
      <w:pPr>
        <w:spacing w:before="0" w:after="40"/>
        <w:jc w:val="center"/>
      </w:pPr>
      <w:r>
        <w:rPr>
          <w:b w:val="0"/>
          <w:i w:val="0"/>
          <w:sz w:val="16"/>
        </w:rPr>
        <w:t>Abstraction time vs. input size (concatenated synthetic files).</w:t>
      </w:r>
    </w:p>
    <w:tbl>
      <w:tblPr>
        <w:tblStyle w:val="TableGrid"/>
        <w:tblW w:type="auto" w:w="0"/>
        <w:jc w:val="center"/>
        <w:tblLook w:firstColumn="1" w:firstRow="1" w:lastColumn="0" w:lastRow="0" w:noHBand="0" w:noVBand="1" w:val="04A0"/>
      </w:tblPr>
      <w:tblGrid>
        <w:gridCol w:w="3485"/>
        <w:gridCol w:w="3485"/>
        <w:gridCol w:w="3485"/>
      </w:tblGrid>
      <w:tr>
        <w:tc>
          <w:tcPr>
            <w:tcW w:type="dxa" w:w="3485"/>
          </w:tcPr>
          <w:p>
            <w:r/>
            <w:r>
              <w:rPr>
                <w:rFonts w:ascii="Times New Roman" w:hAnsi="Times New Roman"/>
                <w:b/>
                <w:sz w:val="15"/>
              </w:rPr>
              <w:t>Lines</w:t>
            </w:r>
          </w:p>
        </w:tc>
        <w:tc>
          <w:tcPr>
            <w:tcW w:type="dxa" w:w="3485"/>
          </w:tcPr>
          <w:p>
            <w:pPr>
              <w:jc w:val="center"/>
            </w:pPr>
            <w:r/>
            <w:r>
              <w:rPr>
                <w:rFonts w:ascii="Times New Roman" w:hAnsi="Times New Roman"/>
                <w:b/>
                <w:sz w:val="15"/>
              </w:rPr>
              <w:t>Abstraction time (ms)</w:t>
            </w:r>
          </w:p>
        </w:tc>
        <w:tc>
          <w:tcPr>
            <w:tcW w:type="dxa" w:w="3485"/>
          </w:tcPr>
          <w:p>
            <w:pPr>
              <w:jc w:val="center"/>
            </w:pPr>
            <w:r/>
            <w:r>
              <w:rPr>
                <w:rFonts w:ascii="Times New Roman" w:hAnsi="Times New Roman"/>
                <w:b/>
                <w:sz w:val="15"/>
              </w:rPr>
              <w:t>Throughput (lines/s)</w:t>
            </w:r>
          </w:p>
        </w:tc>
      </w:tr>
      <w:tr>
        <w:tc>
          <w:tcPr>
            <w:tcW w:type="dxa" w:w="3485"/>
          </w:tcPr>
          <w:p>
            <w:r/>
            <w:r>
              <w:rPr>
                <w:rFonts w:ascii="Times New Roman" w:hAnsi="Times New Roman"/>
                <w:sz w:val="15"/>
              </w:rPr>
              <w:t>39</w:t>
            </w:r>
          </w:p>
        </w:tc>
        <w:tc>
          <w:tcPr>
            <w:tcW w:type="dxa" w:w="3485"/>
          </w:tcPr>
          <w:p>
            <w:pPr>
              <w:jc w:val="center"/>
            </w:pPr>
            <w:r/>
            <w:r>
              <w:rPr>
                <w:rFonts w:ascii="Times New Roman" w:hAnsi="Times New Roman"/>
                <w:sz w:val="15"/>
              </w:rPr>
              <w:t>33.7</w:t>
            </w:r>
          </w:p>
        </w:tc>
        <w:tc>
          <w:tcPr>
            <w:tcW w:type="dxa" w:w="3485"/>
          </w:tcPr>
          <w:p>
            <w:pPr>
              <w:jc w:val="center"/>
            </w:pPr>
            <w:r/>
            <w:r>
              <w:rPr>
                <w:rFonts w:ascii="Times New Roman" w:hAnsi="Times New Roman"/>
                <w:sz w:val="15"/>
              </w:rPr>
              <w:t>1,158</w:t>
            </w:r>
          </w:p>
        </w:tc>
      </w:tr>
      <w:tr>
        <w:tc>
          <w:tcPr>
            <w:tcW w:type="dxa" w:w="3485"/>
          </w:tcPr>
          <w:p>
            <w:r/>
            <w:r>
              <w:rPr>
                <w:rFonts w:ascii="Times New Roman" w:hAnsi="Times New Roman"/>
                <w:sz w:val="15"/>
              </w:rPr>
              <w:t>78</w:t>
            </w:r>
          </w:p>
        </w:tc>
        <w:tc>
          <w:tcPr>
            <w:tcW w:type="dxa" w:w="3485"/>
          </w:tcPr>
          <w:p>
            <w:pPr>
              <w:jc w:val="center"/>
            </w:pPr>
            <w:r/>
            <w:r>
              <w:rPr>
                <w:rFonts w:ascii="Times New Roman" w:hAnsi="Times New Roman"/>
                <w:sz w:val="15"/>
              </w:rPr>
              <w:t>57.2</w:t>
            </w:r>
          </w:p>
        </w:tc>
        <w:tc>
          <w:tcPr>
            <w:tcW w:type="dxa" w:w="3485"/>
          </w:tcPr>
          <w:p>
            <w:pPr>
              <w:jc w:val="center"/>
            </w:pPr>
            <w:r/>
            <w:r>
              <w:rPr>
                <w:rFonts w:ascii="Times New Roman" w:hAnsi="Times New Roman"/>
                <w:sz w:val="15"/>
              </w:rPr>
              <w:t>1,363</w:t>
            </w:r>
          </w:p>
        </w:tc>
      </w:tr>
      <w:tr>
        <w:tc>
          <w:tcPr>
            <w:tcW w:type="dxa" w:w="3485"/>
          </w:tcPr>
          <w:p>
            <w:r/>
            <w:r>
              <w:rPr>
                <w:rFonts w:ascii="Times New Roman" w:hAnsi="Times New Roman"/>
                <w:sz w:val="15"/>
              </w:rPr>
              <w:t>117</w:t>
            </w:r>
          </w:p>
        </w:tc>
        <w:tc>
          <w:tcPr>
            <w:tcW w:type="dxa" w:w="3485"/>
          </w:tcPr>
          <w:p>
            <w:pPr>
              <w:jc w:val="center"/>
            </w:pPr>
            <w:r/>
            <w:r>
              <w:rPr>
                <w:rFonts w:ascii="Times New Roman" w:hAnsi="Times New Roman"/>
                <w:sz w:val="15"/>
              </w:rPr>
              <w:t>89.2</w:t>
            </w:r>
          </w:p>
        </w:tc>
        <w:tc>
          <w:tcPr>
            <w:tcW w:type="dxa" w:w="3485"/>
          </w:tcPr>
          <w:p>
            <w:pPr>
              <w:jc w:val="center"/>
            </w:pPr>
            <w:r/>
            <w:r>
              <w:rPr>
                <w:rFonts w:ascii="Times New Roman" w:hAnsi="Times New Roman"/>
                <w:sz w:val="15"/>
              </w:rPr>
              <w:t>1,312</w:t>
            </w:r>
          </w:p>
        </w:tc>
      </w:tr>
      <w:tr>
        <w:tc>
          <w:tcPr>
            <w:tcW w:type="dxa" w:w="3485"/>
          </w:tcPr>
          <w:p>
            <w:r/>
            <w:r>
              <w:rPr>
                <w:rFonts w:ascii="Times New Roman" w:hAnsi="Times New Roman"/>
                <w:sz w:val="15"/>
              </w:rPr>
              <w:t>195</w:t>
            </w:r>
          </w:p>
        </w:tc>
        <w:tc>
          <w:tcPr>
            <w:tcW w:type="dxa" w:w="3485"/>
          </w:tcPr>
          <w:p>
            <w:pPr>
              <w:jc w:val="center"/>
            </w:pPr>
            <w:r/>
            <w:r>
              <w:rPr>
                <w:rFonts w:ascii="Times New Roman" w:hAnsi="Times New Roman"/>
                <w:sz w:val="15"/>
              </w:rPr>
              <w:t>144.1</w:t>
            </w:r>
          </w:p>
        </w:tc>
        <w:tc>
          <w:tcPr>
            <w:tcW w:type="dxa" w:w="3485"/>
          </w:tcPr>
          <w:p>
            <w:pPr>
              <w:jc w:val="center"/>
            </w:pPr>
            <w:r/>
            <w:r>
              <w:rPr>
                <w:rFonts w:ascii="Times New Roman" w:hAnsi="Times New Roman"/>
                <w:sz w:val="15"/>
              </w:rPr>
              <w:t>1,353</w:t>
            </w:r>
          </w:p>
        </w:tc>
      </w:tr>
      <w:tr>
        <w:tc>
          <w:tcPr>
            <w:tcW w:type="dxa" w:w="3485"/>
          </w:tcPr>
          <w:p>
            <w:r/>
            <w:r>
              <w:rPr>
                <w:rFonts w:ascii="Times New Roman" w:hAnsi="Times New Roman"/>
                <w:sz w:val="15"/>
              </w:rPr>
              <w:t>312</w:t>
            </w:r>
          </w:p>
        </w:tc>
        <w:tc>
          <w:tcPr>
            <w:tcW w:type="dxa" w:w="3485"/>
          </w:tcPr>
          <w:p>
            <w:pPr>
              <w:jc w:val="center"/>
            </w:pPr>
            <w:r/>
            <w:r>
              <w:rPr>
                <w:rFonts w:ascii="Times New Roman" w:hAnsi="Times New Roman"/>
                <w:sz w:val="15"/>
              </w:rPr>
              <w:t>228.9</w:t>
            </w:r>
          </w:p>
        </w:tc>
        <w:tc>
          <w:tcPr>
            <w:tcW w:type="dxa" w:w="3485"/>
          </w:tcPr>
          <w:p>
            <w:pPr>
              <w:jc w:val="center"/>
            </w:pPr>
            <w:r/>
            <w:r>
              <w:rPr>
                <w:rFonts w:ascii="Times New Roman" w:hAnsi="Times New Roman"/>
                <w:sz w:val="15"/>
              </w:rPr>
              <w:t>1,363</w:t>
            </w:r>
          </w:p>
        </w:tc>
      </w:tr>
    </w:tbl>
    <w:p>
      <w:pPr>
        <w:spacing w:before="0" w:after="40"/>
      </w:pPr>
      <w:r>
        <w:rPr>
          <w:b w:val="0"/>
          <w:i w:val="0"/>
          <w:sz w:val="8"/>
        </w:rPr>
      </w:r>
    </w:p>
    <w:p>
      <w:pPr>
        <w:spacing w:before="100" w:after="40"/>
      </w:pPr>
      <w:r>
        <w:rPr>
          <w:b w:val="0"/>
          <w:i/>
          <w:sz w:val="19"/>
        </w:rPr>
        <w:t>F.  Adversarial re-identification</w:t>
      </w:r>
    </w:p>
    <w:p>
      <w:pPr>
        <w:spacing w:before="0" w:after="80"/>
        <w:jc w:val="both"/>
      </w:pPr>
      <w:r>
        <w:rPr>
          <w:b w:val="0"/>
          <w:i w:val="0"/>
        </w:rPr>
        <w:t>The linkage attack extracts a name-free structural fingerprint from every original file in a corpus: the ordered sequence of structural node types, its 3-grams, node-type frequencies, and function arities. Given one abstracted target, it scores that target's fingerprint against every candidate with a blended weighted-Jaccard similarity (0.50 ordered n-gram overlap, 0.35 unordered frequency overlap, 0.15 arity agreement), converts the scores to a posterior with a temperature-0.05 softmax, and predicts the top-ranked candidate. Equations (3) and (4) summarize the outcome.</w:t>
      </w:r>
    </w:p>
    <w:p>
      <w:pPr>
        <w:spacing w:before="0" w:after="80"/>
        <w:jc w:val="both"/>
      </w:pPr>
      <w:r>
        <w:rPr>
          <w:b w:val="0"/>
          <w:i w:val="0"/>
        </w:rPr>
        <w:t>On C_real (120 candidates, chance 1/120 = 0.0083), the attack achieves top-1 accuracy 1.000, MRR 1.000, advantage 1.000, and CPE 0.0006 at every one of the four privacy levels. The result on C_syn is identical (top-1 1.000, CPE 0.0006, chance 0.100). Fig. 2 places this against identifier survival, the axis the privacy levels actually control: on C_real, the fraction of original identifiers still present in S' falls from 0.95 at low to 0.15 at high/critical—the name-hiding machinery works—while re-identification stays pinned at 1.000, because privacy levels govern names and the attack reads shape.</w:t>
      </w:r>
    </w:p>
    <w:p>
      <w:pPr>
        <w:jc w:val="center"/>
      </w:pPr>
      <w:r>
        <w:drawing>
          <wp:inline xmlns:a="http://schemas.openxmlformats.org/drawingml/2006/main" xmlns:pic="http://schemas.openxmlformats.org/drawingml/2006/picture">
            <wp:extent cx="2834640" cy="2153994"/>
            <wp:docPr id="2" name="Picture 2"/>
            <wp:cNvGraphicFramePr>
              <a:graphicFrameLocks noChangeAspect="1"/>
            </wp:cNvGraphicFramePr>
            <a:graphic>
              <a:graphicData uri="http://schemas.openxmlformats.org/drawingml/2006/picture">
                <pic:pic>
                  <pic:nvPicPr>
                    <pic:cNvPr id="0" name="fig_reident.png"/>
                    <pic:cNvPicPr/>
                  </pic:nvPicPr>
                  <pic:blipFill>
                    <a:blip r:embed="rId10"/>
                    <a:stretch>
                      <a:fillRect/>
                    </a:stretch>
                  </pic:blipFill>
                  <pic:spPr>
                    <a:xfrm>
                      <a:off x="0" y="0"/>
                      <a:ext cx="2834640" cy="2153994"/>
                    </a:xfrm>
                    <a:prstGeom prst="rect"/>
                  </pic:spPr>
                </pic:pic>
              </a:graphicData>
            </a:graphic>
          </wp:inline>
        </w:drawing>
      </w:r>
    </w:p>
    <w:p>
      <w:pPr>
        <w:spacing w:before="0" w:after="100"/>
        <w:jc w:val="both"/>
      </w:pPr>
      <w:r>
        <w:rPr>
          <w:b w:val="0"/>
          <w:i w:val="0"/>
          <w:sz w:val="16"/>
        </w:rPr>
        <w:t>Fig. 2.  On the 120-file real corpus, privacy levels drive identifier survival down (0.95 -&gt; 0.15) but leave re-identification pinned at 1.00 and code privacy entropy at 0.0006. Structure, not names, identifies the file.</w:t>
      </w:r>
    </w:p>
    <w:p>
      <w:pPr>
        <w:spacing w:before="0" w:after="80"/>
        <w:jc w:val="both"/>
      </w:pPr>
      <w:r>
        <w:rPr>
          <w:b w:val="0"/>
          <w:i w:val="0"/>
        </w:rPr>
        <w:t>Two consequences follow. First, the structure-preservation success is also the re-identification failure: the AST isomorphism of 1.0 reported as evidence that abstraction keeps code legible is, viewed from the adversary's side, a perfect fingerprint. A tool cannot report one without the other. Second, the privacy-utility trade-off the proposal set out to characterize has no trade-off to plot along the privacy-level axis for this threat, because the re-identification term is constant. A separate, smaller channel: the typed token scheme labels its own findings—SECRET_n marks where a credential sat, about 9 positions per file in C_real, information the original neutral identifier need not have carried.</w:t>
      </w:r>
    </w:p>
    <w:p>
      <w:pPr>
        <w:spacing w:before="0" w:after="80"/>
        <w:jc w:val="both"/>
      </w:pPr>
      <w:r>
        <w:rPr>
          <w:b w:val="0"/>
          <w:i w:val="0"/>
        </w:rPr>
        <w:t>This does not make the tool worthless. It never claimed to hide that a file exists; the asset most users care about is "do not send my credentials and identifiers to a third party," and Sections VI-A to VI-C show that is enforced. But it means the guarantee must be stated as scoped: CodeAbstract protects the content of proprietary identifiers, secrets, and business constants, and does not protect the fact of which structural artifact is under discussion. Defenses worth evaluating—structural noise injection, statement reordering, dead-branch insertion, the syntax analogue of differential privacy [18]—are future work, and this attack is the instrument that would measure them.</w:t>
      </w:r>
    </w:p>
    <w:p>
      <w:pPr>
        <w:spacing w:before="100" w:after="40"/>
      </w:pPr>
      <w:r>
        <w:rPr>
          <w:b w:val="0"/>
          <w:i/>
          <w:sz w:val="19"/>
        </w:rPr>
        <w:t>G.  Falsifiability and regression</w:t>
      </w:r>
    </w:p>
    <w:p>
      <w:pPr>
        <w:spacing w:before="0" w:after="80"/>
        <w:jc w:val="both"/>
      </w:pPr>
      <w:r>
        <w:rPr>
          <w:b w:val="0"/>
          <w:i w:val="0"/>
        </w:rPr>
        <w:t>Run against the pre-remediation commit, the harness reports 5 of 5 defect probes firing (verbatim secrets at low/medium, the substitution collision, import leakage, scope-blind collapse, and critical identical to high); run against the current engine it reports 0 of 5. The probes therefore discriminate rather than always passing or always failing, which is the property a green dashboard on a leaking system lacked. The full backend/CLI/algorithm/storage/web-unit test suite is 1,148 tests, passing in 235 s; a Playwright browser end-to-end suite exists but was not executed on the evaluation host.</w:t>
      </w:r>
    </w:p>
    <w:p>
      <w:pPr>
        <w:spacing w:before="160" w:after="60"/>
        <w:jc w:val="center"/>
      </w:pPr>
      <w:r>
        <w:rPr>
          <w:b/>
          <w:i w:val="0"/>
          <w:sz w:val="20"/>
        </w:rPr>
        <w:t>VII.  LIMITATIONS</w:t>
      </w:r>
    </w:p>
    <w:p>
      <w:pPr>
        <w:spacing w:before="0" w:after="80"/>
        <w:jc w:val="both"/>
      </w:pPr>
      <w:r>
        <w:rPr>
          <w:b w:val="0"/>
          <w:i w:val="0"/>
        </w:rPr>
        <w:t>Structural re-identification (Section VI-F) is the principal limitation and is not closable without giving up the property that makes the output useful.</w:t>
      </w:r>
    </w:p>
    <w:p>
      <w:pPr>
        <w:spacing w:before="0" w:after="80"/>
        <w:jc w:val="both"/>
      </w:pPr>
      <w:r>
        <w:rPr>
          <w:b w:val="0"/>
          <w:i w:val="0"/>
        </w:rPr>
        <w:t>No learned detector, and no independent detection benchmark. The proposal targeted a fine-tuned CodeBERT secret detector [12] and a Random Forest sensitivity classifier. The Random Forest is implemented as a gated baseline over 27 shape features that deliberately exclude the pattern matches; it scores 0.70 against the 0.89 regex baseline, the expected result of withholding the labelling rule from the model, and it refuses to mark its own output trustworthy because its labels were not assigned blind. The CodeBERT fine-tune is not built: the only available labeled data is circular, and a model trained on it would learn the regexes. The blocking dependency is 300-500 real samples labeled by two annotators blind to the pattern list; the schema, kappa computation, and circularity audit for that effort are implemented and unused.</w:t>
      </w:r>
    </w:p>
    <w:p>
      <w:pPr>
        <w:spacing w:before="0" w:after="80"/>
        <w:jc w:val="both"/>
      </w:pPr>
      <w:r>
        <w:rPr>
          <w:b w:val="0"/>
          <w:i w:val="0"/>
        </w:rPr>
        <w:t>Utility is not measured with humans. The apparatus for a blind raw-vs-abstracted rating study—paired collection, content-addressed response cache, blind rating-sheet export—exists, but the headline utility number requires an LLM in the loop and human raters and is not reported here.</w:t>
      </w:r>
    </w:p>
    <w:p>
      <w:pPr>
        <w:spacing w:before="0" w:after="80"/>
        <w:jc w:val="both"/>
      </w:pPr>
      <w:r>
        <w:rPr>
          <w:b w:val="0"/>
          <w:i w:val="0"/>
        </w:rPr>
        <w:t>Corpus scale for leakage. Planted-secret ground truth rests on 10 synthetic files with 21 credentials. Two audit passes found leak paths on constructs absent from that corpus (bytes credentials, unscreened JavaScript comments, credential-template taint); each is now fixed and carries a regression test, but the general point stands that the corpus bounds what the suite can see.</w:t>
      </w:r>
    </w:p>
    <w:p>
      <w:pPr>
        <w:spacing w:before="0" w:after="80"/>
        <w:jc w:val="both"/>
      </w:pPr>
      <w:r>
        <w:rPr>
          <w:b w:val="0"/>
          <w:i w:val="0"/>
        </w:rPr>
        <w:t>Concurrency. Under a sustained 16-thread write burst, SQLite lock contention produces intermittent "database is locked" errors (about 13% of writes in measurement); the tested behavior is to fail that write safely with no corruption and no cross-session secret leakage, not to eliminate contention.</w:t>
      </w:r>
    </w:p>
    <w:p>
      <w:pPr>
        <w:spacing w:before="0" w:after="80"/>
        <w:jc w:val="both"/>
      </w:pPr>
      <w:r>
        <w:rPr>
          <w:b w:val="0"/>
          <w:i w:val="0"/>
        </w:rPr>
        <w:t>Environment. Throughput is host-dependent; JavaScript scoping does not model hoisting or closures, so two symbols may share a token, which costs mapping precision and never privacy.</w:t>
      </w:r>
    </w:p>
    <w:p>
      <w:pPr>
        <w:spacing w:before="160" w:after="60"/>
        <w:jc w:val="center"/>
      </w:pPr>
      <w:r>
        <w:rPr>
          <w:b/>
          <w:i w:val="0"/>
          <w:sz w:val="20"/>
        </w:rPr>
        <w:t>VIII.  CONCLUSION AND FUTURE WORK</w:t>
      </w:r>
    </w:p>
    <w:p>
      <w:pPr>
        <w:spacing w:before="0" w:after="80"/>
        <w:jc w:val="both"/>
      </w:pPr>
      <w:r>
        <w:rPr>
          <w:b w:val="0"/>
          <w:i w:val="0"/>
        </w:rPr>
        <w:t>CodeAbstract shows that a reversible, structure-preserving abstraction can remove credentials, proprietary identifiers, and business constants from code before it is sent to a hosted language model, and can translate the model's token- and line-level answer back onto the developer's own source. On the re-executed evaluation, no planted credential survives at any privacy level, mapping accuracy is 0.9975, structure is preserved exactly, and throughput clears the interactive target. The same evaluation, made falsifiable with a historical regression harness and an adversarial pillar, establishes the boundary of the guarantee: a deterministic linkage attack re-identifies the source file behind an abstracted output with certainty, because the abstract syntax tree that a model needs is also a fingerprint. The contribution is therefore twofold—a working content-level privacy control with a reversible mapping, and a measured, explicit statement of what that control does not cover.</w:t>
      </w:r>
    </w:p>
    <w:p>
      <w:pPr>
        <w:spacing w:before="0" w:after="80"/>
        <w:jc w:val="both"/>
      </w:pPr>
      <w:r>
        <w:rPr>
          <w:b w:val="0"/>
          <w:i w:val="0"/>
        </w:rPr>
        <w:t>Future work is (i) structural defenses—semantics-preserving noise, reordering, and dead-code insertion—evaluated against the linkage attack as the privacy-utility instrument the level axis cannot provide; (ii) an independently annotated detection dataset to enable an honest learned classifier and a real detection benchmark; (iii) a human utility study using the existing blind-rating apparatus; and (iv) batch and pre-commit integration for the compliance use case.</w:t>
      </w:r>
    </w:p>
    <w:p>
      <w:pPr>
        <w:spacing w:before="120" w:after="40"/>
      </w:pPr>
      <w:r>
        <w:rPr>
          <w:b/>
          <w:i/>
          <w:sz w:val="19"/>
        </w:rPr>
        <w:t>Reproducibility</w:t>
      </w:r>
    </w:p>
    <w:p>
      <w:pPr>
        <w:spacing w:before="0" w:after="80"/>
        <w:jc w:val="both"/>
      </w:pPr>
      <w:r>
        <w:rPr>
          <w:b w:val="0"/>
          <w:i w:val="0"/>
        </w:rPr>
        <w:t>The evaluation runner (python evaluation/run_eval.py), the regression harness (evaluation/regression_harness.py), and both corpora are in the repository. Every stochastic component is seeded; LLM responses, where used, are cached content-addressed. The figures in this paper were produced by running the suite at all four privacy levels and the linkage attack on the 120-file standard-library corpus under CPython 3.13.7.</w:t>
      </w:r>
    </w:p>
    <w:p>
      <w:pPr>
        <w:spacing w:before="160" w:after="60"/>
        <w:jc w:val="center"/>
      </w:pPr>
      <w:r>
        <w:rPr>
          <w:b/>
          <w:i w:val="0"/>
          <w:sz w:val="20"/>
        </w:rPr>
        <w:t>.  REFERENCES</w:t>
      </w:r>
    </w:p>
    <w:p>
      <w:pPr>
        <w:spacing w:after="40"/>
        <w:jc w:val="both"/>
      </w:pPr>
      <w:r>
        <w:rPr>
          <w:sz w:val="16"/>
        </w:rPr>
        <w:t>[1]  M. Meli, M. R. McNiece, and B. Reaves, "How bad can it git? Characterizing secret leakage in public GitHub repositories," in Proc. NDSS, 2019.</w:t>
      </w:r>
    </w:p>
    <w:p>
      <w:pPr>
        <w:spacing w:after="40"/>
        <w:jc w:val="both"/>
      </w:pPr>
      <w:r>
        <w:rPr>
          <w:sz w:val="16"/>
        </w:rPr>
        <w:t>[2]  V. S. Sinha, D. Saha, P. Dhoolia, R. Padhye, and S. Mani, "Detecting and mitigating secret-key leaks in source code repositories," in Proc. IEEE/ACM MSR, 2015, pp. 396-400.</w:t>
      </w:r>
    </w:p>
    <w:p>
      <w:pPr>
        <w:spacing w:after="40"/>
        <w:jc w:val="both"/>
      </w:pPr>
      <w:r>
        <w:rPr>
          <w:sz w:val="16"/>
        </w:rPr>
        <w:t>[3]  Z. Rumsey and contributors, "Gitleaks: Detect and prevent secrets in git repositories," https://github.com/gitleaks/gitleaks, 2018 (accessed 2026-08-30).</w:t>
      </w:r>
    </w:p>
    <w:p>
      <w:pPr>
        <w:spacing w:after="40"/>
        <w:jc w:val="both"/>
      </w:pPr>
      <w:r>
        <w:rPr>
          <w:sz w:val="16"/>
        </w:rPr>
        <w:t>[4]  Truffle Security, "TruffleHog: Find, verify, and analyze leaked credentials," https://github.com/trufflesecurity/trufflehog, 2017 (accessed 2026-08-30).</w:t>
      </w:r>
    </w:p>
    <w:p>
      <w:pPr>
        <w:spacing w:after="40"/>
        <w:jc w:val="both"/>
      </w:pPr>
      <w:r>
        <w:rPr>
          <w:sz w:val="16"/>
        </w:rPr>
        <w:t>[5]  N. Carlini et al., "Extracting training data from large language models," in Proc. 30th USENIX Security Symp., 2021, pp. 2633-2650.</w:t>
      </w:r>
    </w:p>
    <w:p>
      <w:pPr>
        <w:spacing w:after="40"/>
        <w:jc w:val="both"/>
      </w:pPr>
      <w:r>
        <w:rPr>
          <w:sz w:val="16"/>
        </w:rPr>
        <w:t>[6]  N. Carlini, D. Ippolito, M. Jagielski, K. Lee, F. Tramer, and C. Zhang, "Quantifying memorization across neural language models," in Proc. ICLR, 2023.</w:t>
      </w:r>
    </w:p>
    <w:p>
      <w:pPr>
        <w:spacing w:after="40"/>
        <w:jc w:val="both"/>
      </w:pPr>
      <w:r>
        <w:rPr>
          <w:sz w:val="16"/>
        </w:rPr>
        <w:t>[7]  Z. Yang, Z. Zhao, C. Wang, J. Shi, D. Kim, D. Han, and D. Lo, "Unveiling memorization in code models," in Proc. IEEE/ACM ICSE, 2024.</w:t>
      </w:r>
    </w:p>
    <w:p>
      <w:pPr>
        <w:spacing w:after="40"/>
        <w:jc w:val="both"/>
      </w:pPr>
      <w:r>
        <w:rPr>
          <w:sz w:val="16"/>
        </w:rPr>
        <w:t>[8]  N. Lukas, A. Salem, R. Sim, S. Tople, L. Wutschitz, and S. Zanella-Beguelin, "Analyzing leakage of personally identifiable information in language models," in Proc. IEEE S&amp;P, 2023, pp. 346-363.</w:t>
      </w:r>
    </w:p>
    <w:p>
      <w:pPr>
        <w:spacing w:after="40"/>
        <w:jc w:val="both"/>
      </w:pPr>
      <w:r>
        <w:rPr>
          <w:sz w:val="16"/>
        </w:rPr>
        <w:t>[9]  C. Collberg, C. Thomborson, and D. Low, "A taxonomy of obfuscating transformations," Dept. Comput. Sci., Univ. Auckland, Tech. Rep. 148, 1997.</w:t>
      </w:r>
    </w:p>
    <w:p>
      <w:pPr>
        <w:spacing w:after="40"/>
        <w:jc w:val="both"/>
      </w:pPr>
      <w:r>
        <w:rPr>
          <w:sz w:val="16"/>
        </w:rPr>
        <w:t>[10]  A. C. Yao, "Protocols for secure computations," in Proc. 23rd FOCS, 1982, pp. 160-164.</w:t>
      </w:r>
    </w:p>
    <w:p>
      <w:pPr>
        <w:spacing w:after="40"/>
        <w:jc w:val="both"/>
      </w:pPr>
      <w:r>
        <w:rPr>
          <w:sz w:val="16"/>
        </w:rPr>
        <w:t>[11]  A. Al-Kaswan and M. Izadi, "The (ab)use of open source code to train large language models," arXiv:2302.13681, 2023.</w:t>
      </w:r>
    </w:p>
    <w:p>
      <w:pPr>
        <w:spacing w:after="40"/>
        <w:jc w:val="both"/>
      </w:pPr>
      <w:r>
        <w:rPr>
          <w:sz w:val="16"/>
        </w:rPr>
        <w:t>[12]  Z. Feng et al., "CodeBERT: A pre-trained model for programming and natural languages," in Findings of ACL: EMNLP, 2020, pp. 1536-1547.</w:t>
      </w:r>
    </w:p>
    <w:p>
      <w:pPr>
        <w:spacing w:after="40"/>
        <w:jc w:val="both"/>
      </w:pPr>
      <w:r>
        <w:rPr>
          <w:sz w:val="16"/>
        </w:rPr>
        <w:t>[13]  J. Devlin, M.-W. Chang, K. Lee, and K. Toutanova, "BERT: Pre-training of deep bidirectional transformers for language understanding," in Proc. NAACL-HLT, 2019, pp. 4171-4186.</w:t>
      </w:r>
    </w:p>
    <w:p>
      <w:pPr>
        <w:spacing w:after="40"/>
        <w:jc w:val="both"/>
      </w:pPr>
      <w:r>
        <w:rPr>
          <w:sz w:val="16"/>
        </w:rPr>
        <w:t>[14]  M. Chen et al., "Evaluating large language models trained on code," arXiv:2107.03374, 2021.</w:t>
      </w:r>
    </w:p>
    <w:p>
      <w:pPr>
        <w:spacing w:after="40"/>
        <w:jc w:val="both"/>
      </w:pPr>
      <w:r>
        <w:rPr>
          <w:sz w:val="16"/>
        </w:rPr>
        <w:t>[15]  H. Pearce, B. Ahmad, B. Tan, B. Dolan-Gavitt, and R. Karri, "Asleep at the keyboard? Assessing the security of GitHub Copilot's code contributions," in Proc. IEEE S&amp;P, 2022, pp. 754-768.</w:t>
      </w:r>
    </w:p>
    <w:p>
      <w:pPr>
        <w:spacing w:after="40"/>
        <w:jc w:val="both"/>
      </w:pPr>
      <w:r>
        <w:rPr>
          <w:sz w:val="16"/>
        </w:rPr>
        <w:t>[16]  X. Hou et al., "Large language models for software engineering: A systematic literature review," ACM Trans. Softw. Eng. Methodol., 2024.</w:t>
      </w:r>
    </w:p>
    <w:p>
      <w:pPr>
        <w:spacing w:after="40"/>
        <w:jc w:val="both"/>
      </w:pPr>
      <w:r>
        <w:rPr>
          <w:sz w:val="16"/>
        </w:rPr>
        <w:t>[17]  L. Sweeney, "k-anonymity: A model for protecting privacy," Int. J. Uncertainty, Fuzziness Knowl.-Based Syst., vol. 10, no. 5, pp. 557-570, 2002.</w:t>
      </w:r>
    </w:p>
    <w:p>
      <w:pPr>
        <w:spacing w:after="40"/>
        <w:jc w:val="both"/>
      </w:pPr>
      <w:r>
        <w:rPr>
          <w:sz w:val="16"/>
        </w:rPr>
        <w:t>[18]  C. Dwork, "Differential privacy," in Proc. ICALP, 2006, pp. 1-12.</w:t>
      </w:r>
    </w:p>
    <w:p>
      <w:pPr>
        <w:spacing w:after="40"/>
        <w:jc w:val="both"/>
      </w:pPr>
      <w:r>
        <w:rPr>
          <w:sz w:val="16"/>
        </w:rPr>
        <w:t>[19]  A. Caliskan-Islam et al., "De-anonymizing programmers via code stylometry," in Proc. 24th USENIX Security Symp., 2015, pp. 255-270.</w:t>
      </w:r>
    </w:p>
    <w:p>
      <w:pPr>
        <w:spacing w:after="40"/>
        <w:jc w:val="both"/>
      </w:pPr>
      <w:r>
        <w:rPr>
          <w:sz w:val="16"/>
        </w:rPr>
        <w:t>[20]  M. Abuhamad, T. AbuHmed, A. Mohaisen, and D. Nyang, "Large-scale and language-oblivious code authorship identification," in Proc. ACM CCS, 2018, pp. 101-114.</w:t>
      </w:r>
    </w:p>
    <w:p>
      <w:pPr>
        <w:spacing w:after="40"/>
        <w:jc w:val="both"/>
      </w:pPr>
      <w:r>
        <w:rPr>
          <w:sz w:val="16"/>
        </w:rPr>
        <w:t>[21]  F. Yamaguchi, N. Golde, D. Arp, and K. Rieck, "Modeling and discovering vulnerabilities with code property graphs," in Proc. IEEE S&amp;P, 2014, pp. 590-604.</w:t>
      </w:r>
    </w:p>
    <w:p>
      <w:pPr>
        <w:spacing w:after="40"/>
        <w:jc w:val="both"/>
      </w:pPr>
      <w:r>
        <w:rPr>
          <w:sz w:val="16"/>
        </w:rPr>
        <w:t>[22]  M. Brunsfeld et al., "Tree-sitter: An incremental parsing system for programming tools," https://tree-sitter.github.io/tree-sitter/, 2018 (accessed 2026-08-30).</w:t>
      </w:r>
    </w:p>
    <w:p>
      <w:pPr>
        <w:spacing w:after="40"/>
        <w:jc w:val="both"/>
      </w:pPr>
      <w:r>
        <w:rPr>
          <w:sz w:val="16"/>
        </w:rPr>
        <w:t>[23]  J. Cohen, "A coefficient of agreement for nominal scales," Educ. Psychol. Meas., vol. 20, no. 1, pp. 37-46, 1960.</w:t>
      </w:r>
    </w:p>
    <w:p>
      <w:pPr>
        <w:spacing w:after="40"/>
        <w:jc w:val="both"/>
      </w:pPr>
      <w:r>
        <w:rPr>
          <w:sz w:val="16"/>
        </w:rPr>
        <w:t>[24]  C. E. Shannon, "A mathematical theory of communication," Bell Syst. Tech. J., vol. 27, no. 3, pp. 379-423, 1948.</w:t>
      </w:r>
    </w:p>
    <w:sectPr w:rsidR="00FC693F" w:rsidRPr="0006063C" w:rsidSect="00034616">
      <w:type w:val="continuous"/>
      <w:pgSz w:w="12240" w:h="15840"/>
      <w:pgMar w:top="1080" w:right="893" w:bottom="1080" w:left="893" w:header="720" w:footer="720" w:gutter="0"/>
      <w:cols w:space="30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Times New Roman" w:hAnsi="Times New Roman"/>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