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sz w:val="40"/>
        </w:rPr>
        <w:t>CodeAbstract: Privacy-Preserving AST-Based Semantic Abstraction for Secure LLM Code Consultation</w:t>
      </w:r>
    </w:p>
    <w:tbl>
      <w:tblPr>
        <w:tblW w:type="auto" w:w="0"/>
        <w:jc w:val="center"/>
        <w:tblLook w:firstColumn="1" w:firstRow="1" w:lastColumn="0" w:lastRow="0" w:noHBand="0" w:noVBand="1" w:val="04A0"/>
      </w:tblPr>
      <w:tblGrid>
        <w:gridCol w:w="3370"/>
        <w:gridCol w:w="3370"/>
        <w:gridCol w:w="3370"/>
      </w:tblGrid>
      <w:tr>
        <w:tc>
          <w:tcPr>
            <w:tcW w:type="dxa" w:w="3370"/>
          </w:tcPr>
          <w:p>
            <w:pPr>
              <w:spacing w:after="0"/>
              <w:jc w:val="center"/>
            </w:pPr>
            <w:r/>
            <w:r>
              <w:rPr>
                <w:rFonts w:ascii="Times New Roman" w:hAnsi="Times New Roman"/>
                <w:sz w:val="22"/>
              </w:rPr>
              <w:t>First A. Author</w:t>
            </w:r>
          </w:p>
          <w:p>
            <w:pPr>
              <w:spacing w:after="0"/>
              <w:jc w:val="center"/>
            </w:pPr>
            <w:r>
              <w:rPr>
                <w:rFonts w:ascii="Times New Roman" w:hAnsi="Times New Roman"/>
                <w:sz w:val="18"/>
              </w:rPr>
              <w:t>Dept. of Computer Science</w:t>
            </w:r>
          </w:p>
          <w:p>
            <w:pPr>
              <w:spacing w:after="0"/>
              <w:jc w:val="center"/>
            </w:pPr>
            <w:r>
              <w:rPr>
                <w:rFonts w:ascii="Times New Roman" w:hAnsi="Times New Roman"/>
                <w:sz w:val="18"/>
              </w:rPr>
              <w:t>Institute Name</w:t>
            </w:r>
          </w:p>
          <w:p>
            <w:pPr>
              <w:spacing w:after="0"/>
              <w:jc w:val="center"/>
            </w:pPr>
            <w:r>
              <w:rPr>
                <w:rFonts w:ascii="Times New Roman" w:hAnsi="Times New Roman"/>
                <w:sz w:val="18"/>
              </w:rPr>
              <w:t>City, Country</w:t>
            </w:r>
          </w:p>
          <w:p>
            <w:pPr>
              <w:spacing w:after="0"/>
              <w:jc w:val="center"/>
            </w:pPr>
            <w:r>
              <w:rPr>
                <w:rFonts w:ascii="Times New Roman" w:hAnsi="Times New Roman"/>
                <w:sz w:val="18"/>
              </w:rPr>
              <w:t>first.author@example.edu</w:t>
            </w:r>
          </w:p>
        </w:tc>
        <w:tc>
          <w:tcPr>
            <w:tcW w:type="dxa" w:w="3370"/>
          </w:tcPr>
          <w:p>
            <w:pPr>
              <w:spacing w:after="0"/>
              <w:jc w:val="center"/>
            </w:pPr>
            <w:r/>
            <w:r>
              <w:rPr>
                <w:rFonts w:ascii="Times New Roman" w:hAnsi="Times New Roman"/>
                <w:sz w:val="22"/>
              </w:rPr>
              <w:t>Second B. Author</w:t>
            </w:r>
          </w:p>
          <w:p>
            <w:pPr>
              <w:spacing w:after="0"/>
              <w:jc w:val="center"/>
            </w:pPr>
            <w:r>
              <w:rPr>
                <w:rFonts w:ascii="Times New Roman" w:hAnsi="Times New Roman"/>
                <w:sz w:val="18"/>
              </w:rPr>
              <w:t>Dept. of Computer Science</w:t>
            </w:r>
          </w:p>
          <w:p>
            <w:pPr>
              <w:spacing w:after="0"/>
              <w:jc w:val="center"/>
            </w:pPr>
            <w:r>
              <w:rPr>
                <w:rFonts w:ascii="Times New Roman" w:hAnsi="Times New Roman"/>
                <w:sz w:val="18"/>
              </w:rPr>
              <w:t>Institute Name</w:t>
            </w:r>
          </w:p>
          <w:p>
            <w:pPr>
              <w:spacing w:after="0"/>
              <w:jc w:val="center"/>
            </w:pPr>
            <w:r>
              <w:rPr>
                <w:rFonts w:ascii="Times New Roman" w:hAnsi="Times New Roman"/>
                <w:sz w:val="18"/>
              </w:rPr>
              <w:t>City, Country</w:t>
            </w:r>
          </w:p>
          <w:p>
            <w:pPr>
              <w:spacing w:after="0"/>
              <w:jc w:val="center"/>
            </w:pPr>
            <w:r>
              <w:rPr>
                <w:rFonts w:ascii="Times New Roman" w:hAnsi="Times New Roman"/>
                <w:sz w:val="18"/>
              </w:rPr>
              <w:t>second.author@example.edu</w:t>
            </w:r>
          </w:p>
        </w:tc>
        <w:tc>
          <w:tcPr>
            <w:tcW w:type="dxa" w:w="3370"/>
          </w:tcPr>
          <w:p>
            <w:pPr>
              <w:spacing w:after="0"/>
              <w:jc w:val="center"/>
            </w:pPr>
            <w:r/>
            <w:r>
              <w:rPr>
                <w:rFonts w:ascii="Times New Roman" w:hAnsi="Times New Roman"/>
                <w:sz w:val="22"/>
              </w:rPr>
              <w:t>Third C. Author</w:t>
            </w:r>
          </w:p>
          <w:p>
            <w:pPr>
              <w:spacing w:after="0"/>
              <w:jc w:val="center"/>
            </w:pPr>
            <w:r>
              <w:rPr>
                <w:rFonts w:ascii="Times New Roman" w:hAnsi="Times New Roman"/>
                <w:sz w:val="18"/>
              </w:rPr>
              <w:t>Dept. of Computer Science</w:t>
            </w:r>
          </w:p>
          <w:p>
            <w:pPr>
              <w:spacing w:after="0"/>
              <w:jc w:val="center"/>
            </w:pPr>
            <w:r>
              <w:rPr>
                <w:rFonts w:ascii="Times New Roman" w:hAnsi="Times New Roman"/>
                <w:sz w:val="18"/>
              </w:rPr>
              <w:t>Institute Name</w:t>
            </w:r>
          </w:p>
          <w:p>
            <w:pPr>
              <w:spacing w:after="0"/>
              <w:jc w:val="center"/>
            </w:pPr>
            <w:r>
              <w:rPr>
                <w:rFonts w:ascii="Times New Roman" w:hAnsi="Times New Roman"/>
                <w:sz w:val="18"/>
              </w:rPr>
              <w:t>City, Country</w:t>
            </w:r>
          </w:p>
          <w:p>
            <w:pPr>
              <w:spacing w:after="0"/>
              <w:jc w:val="center"/>
            </w:pPr>
            <w:r>
              <w:rPr>
                <w:rFonts w:ascii="Times New Roman" w:hAnsi="Times New Roman"/>
                <w:sz w:val="18"/>
              </w:rPr>
              <w:t>third.author@example.edu</w:t>
            </w:r>
          </w:p>
        </w:tc>
      </w:tr>
    </w:tbl>
    <w:p>
      <w:pPr>
        <w:spacing w:after="40"/>
      </w:pPr>
    </w:p>
    <w:p>
      <w:pPr>
        <w:sectPr>
          <w:pgSz w:w="11909" w:h="16834"/>
          <w:pgMar w:top="1080" w:right="900" w:bottom="1440" w:left="900" w:header="720" w:footer="720" w:gutter="0"/>
          <w:cols w:space="360" w:num="1" w:equalWidth="1"/>
          <w:docGrid w:linePitch="360"/>
        </w:sectPr>
      </w:pPr>
    </w:p>
    <w:p>
      <w:pPr>
        <w:spacing w:line="240" w:lineRule="auto"/>
        <w:ind w:firstLine="288"/>
      </w:pPr>
      <w:r>
        <w:rPr>
          <w:rFonts w:ascii="Times New Roman" w:hAnsi="Times New Roman"/>
          <w:b/>
          <w:i/>
          <w:sz w:val="18"/>
        </w:rPr>
        <w:t>Abstract—</w:t>
      </w:r>
      <w:r>
        <w:rPr>
          <w:rFonts w:ascii="Times New Roman" w:hAnsi="Times New Roman"/>
          <w:i/>
          <w:sz w:val="18"/>
        </w:rPr>
        <w:t>Large Language Models (LLMs) have become indispensable for code review, debugging, and optimization, yet submitting proprietary source code to cloud-hosted LLM endpoints exposes organizations to serious intellectual-property leakage, including exposure of API keys, credentials, proprietary algorithms, and business-critical constants. This paper presents CodeAbstract, a client-side, AST-based semantic abstraction framework that transforms Python source code into a privacy-safe intermediate representation before cloud LLM consultation and then deterministically reconstructs the model feedback into the original code context. CodeAbstract operates through four formally specified algorithms: ABSTRACT, CLASSIFY, RECONSTRUCT, and ENCRYPT. It is evaluated across five metric pillars on a curated corpus of ten Python modules (390 lines of code, eleven code domains) and a hand-labeled dataset of 150 AST nodes. Empirical results show a Privacy Information Ratio of 0.0024 with zero secret leakage, a 100 percent reconstruction token hit rate, a classification Macro-F1 of 0.8937, perfect AST isomorphism with zero cyclomatic-complexity change, and a throughput of 9,872 lines per second on commodity CPU hardware. Comparison against four state-of-the-art frameworks shows that CodeAbstract achieves superior or competitive privacy protection while uniquely guaranteeing deterministic, lossless reconstruction and complete structural invariance.</w:t>
      </w:r>
    </w:p>
    <w:p>
      <w:pPr>
        <w:ind w:firstLine="288"/>
      </w:pPr>
      <w:r>
        <w:rPr>
          <w:rFonts w:ascii="Times New Roman" w:hAnsi="Times New Roman"/>
          <w:b/>
          <w:i/>
          <w:sz w:val="18"/>
        </w:rPr>
        <w:t>Keywords—</w:t>
      </w:r>
      <w:r>
        <w:rPr>
          <w:rFonts w:ascii="Times New Roman" w:hAnsi="Times New Roman"/>
          <w:i/>
          <w:sz w:val="18"/>
        </w:rPr>
        <w:t>code privacy, AST abstraction, LLM security, sensitive token classification, deterministic reconstruction, privacy-preserving code review</w:t>
      </w:r>
    </w:p>
    <w:p>
      <w:pPr>
        <w:spacing w:before="200" w:after="60" w:line="240" w:lineRule="auto"/>
        <w:jc w:val="center"/>
      </w:pPr>
      <w:r>
        <w:rPr>
          <w:rFonts w:ascii="Times New Roman" w:hAnsi="Times New Roman"/>
          <w:smallCaps/>
          <w:sz w:val="20"/>
        </w:rPr>
        <w:t>I.  INTRODUCTION</w:t>
      </w:r>
    </w:p>
    <w:p>
      <w:pPr>
        <w:spacing w:before="120" w:after="40" w:line="240" w:lineRule="auto"/>
        <w:jc w:val="left"/>
      </w:pPr>
      <w:r>
        <w:rPr>
          <w:rFonts w:ascii="Times New Roman" w:hAnsi="Times New Roman"/>
          <w:i/>
          <w:sz w:val="20"/>
        </w:rPr>
        <w:t>A.  Motivation</w:t>
      </w:r>
    </w:p>
    <w:p>
      <w:pPr>
        <w:spacing w:after="0" w:before="0" w:line="240" w:lineRule="auto"/>
        <w:ind w:firstLine="288"/>
        <w:jc w:val="both"/>
      </w:pPr>
      <w:r>
        <w:rPr>
          <w:rFonts w:ascii="Times New Roman" w:hAnsi="Times New Roman"/>
          <w:b w:val="0"/>
          <w:i w:val="0"/>
          <w:sz w:val="20"/>
        </w:rPr>
        <w:t>The rapid adoption of cloud-hosted Large Language Models (LLMs) such as GPT-4, Gemini, and Claude for software-engineering tasks—code review, bug detection, security auditing, and code translation—has created a fundamental tension between utility and privacy. Developers routinely paste proprietary code into commercial LLM endpoints, inadvertently exposing credentials and secrets (API keys, database connection strings, OAuth tokens, signing keys), business logic (pricing algorithms, commission rates, revenue formulas), infrastructure details (internal endpoints, hostnames, schemas), and customer-data references.</w:t>
      </w:r>
    </w:p>
    <w:p>
      <w:pPr>
        <w:spacing w:after="0" w:before="0" w:line="240" w:lineRule="auto"/>
        <w:ind w:firstLine="288"/>
        <w:jc w:val="both"/>
      </w:pPr>
      <w:r>
        <w:rPr>
          <w:rFonts w:ascii="Times New Roman" w:hAnsi="Times New Roman"/>
          <w:b w:val="0"/>
          <w:i w:val="0"/>
          <w:sz w:val="20"/>
        </w:rPr>
        <w:t>The risk is not hypothetical. A 2023 internal Samsung audit detected three separate incidents of proprietary source-code leakage through a public chatbot within a single month, prompting a company-wide ban on generative-AI tools. GitGuardian's 2024 State of Secrets Sprawl report identified more than 12.8 million hardcoded secrets exposed in public repositories, underscoring the systemic nature of credential leakage in modern development workflows.</w:t>
      </w:r>
    </w:p>
    <w:p>
      <w:pPr>
        <w:spacing w:before="120" w:after="40" w:line="240" w:lineRule="auto"/>
        <w:jc w:val="left"/>
      </w:pPr>
      <w:r>
        <w:rPr>
          <w:rFonts w:ascii="Times New Roman" w:hAnsi="Times New Roman"/>
          <w:i/>
          <w:sz w:val="20"/>
        </w:rPr>
        <w:t>B.  Problem Statement</w:t>
      </w:r>
    </w:p>
    <w:p>
      <w:pPr>
        <w:spacing w:after="0" w:before="0" w:line="240" w:lineRule="auto"/>
        <w:ind w:firstLine="288"/>
        <w:jc w:val="both"/>
      </w:pPr>
      <w:r>
        <w:rPr>
          <w:rFonts w:ascii="Times New Roman" w:hAnsi="Times New Roman"/>
          <w:b w:val="0"/>
          <w:i w:val="0"/>
          <w:sz w:val="20"/>
        </w:rPr>
        <w:t>Given source code S containing a subset of sensitive tokens, and a cloud-hosted LLM that produces a review response R, the goal is a transformation pipeline that satisfies four properties. (1) Privacy guarantee: the abstracted representation contains none of the original sensitive tokens. (2) Utility preservation: the LLM still produces semantically useful feedback on the abstracted input. (3) Lossless reconstruction: a local function deterministically maps every abstract token in R back to its original identifier. (4) Structural invariance: the abstract syntax tree of the abstracted code is isomorphic to that of the original.</w:t>
      </w:r>
    </w:p>
    <w:p>
      <w:pPr>
        <w:spacing w:before="120" w:after="40" w:line="240" w:lineRule="auto"/>
        <w:jc w:val="left"/>
      </w:pPr>
      <w:r>
        <w:rPr>
          <w:rFonts w:ascii="Times New Roman" w:hAnsi="Times New Roman"/>
          <w:i/>
          <w:sz w:val="20"/>
        </w:rPr>
        <w:t>C.  Contributions</w:t>
      </w:r>
    </w:p>
    <w:p>
      <w:pPr>
        <w:spacing w:after="0" w:before="0" w:line="240" w:lineRule="auto"/>
        <w:ind w:firstLine="288"/>
        <w:jc w:val="both"/>
      </w:pPr>
      <w:r>
        <w:rPr>
          <w:rFonts w:ascii="Times New Roman" w:hAnsi="Times New Roman"/>
          <w:b w:val="0"/>
          <w:i w:val="0"/>
          <w:sz w:val="20"/>
        </w:rPr>
        <w:t>This paper makes four contributions. First, a formal four-algorithm pipeline (ABSTRACT, CLASSIFY, RECONSTRUCT, ENCRYPT) for AST-level semantic abstraction with provably deterministic, bijective reconstruction. Second, a multi-class sensitivity classifier achieving Macro-F1 of 0.8937 across SECRET, VALUE, and IDENTIFIER categories on a curated 150-node ground-truth dataset spanning eleven code domains. Third, a five-pillar evaluation framework—Privacy Information Ratio, reconstruction fidelity, classification accuracy, structural preservation, and performance—reproducible through an automated harness. Fourth, a comparative analysis against four state-of-the-art privacy-preserving code frameworks that demonstrates superior privacy-utility-efficiency trade-offs.</w:t>
      </w:r>
    </w:p>
    <w:p>
      <w:pPr>
        <w:spacing w:before="200" w:after="60" w:line="240" w:lineRule="auto"/>
        <w:jc w:val="center"/>
      </w:pPr>
      <w:r>
        <w:rPr>
          <w:rFonts w:ascii="Times New Roman" w:hAnsi="Times New Roman"/>
          <w:smallCaps/>
          <w:sz w:val="20"/>
        </w:rPr>
        <w:t>II.  RELATED WORK</w:t>
      </w:r>
    </w:p>
    <w:p>
      <w:pPr>
        <w:spacing w:before="120" w:after="40" w:line="240" w:lineRule="auto"/>
        <w:jc w:val="left"/>
      </w:pPr>
      <w:r>
        <w:rPr>
          <w:rFonts w:ascii="Times New Roman" w:hAnsi="Times New Roman"/>
          <w:i/>
          <w:sz w:val="20"/>
        </w:rPr>
        <w:t>A.  Edge-Cloud Code Completion (ECCC)</w:t>
      </w:r>
    </w:p>
    <w:p>
      <w:pPr>
        <w:spacing w:after="0" w:before="0" w:line="240" w:lineRule="auto"/>
        <w:ind w:firstLine="288"/>
        <w:jc w:val="both"/>
      </w:pPr>
      <w:r>
        <w:rPr>
          <w:rFonts w:ascii="Times New Roman" w:hAnsi="Times New Roman"/>
          <w:b w:val="0"/>
          <w:i w:val="0"/>
          <w:sz w:val="20"/>
        </w:rPr>
        <w:t>He et al. (2025) propose ECCC, an edge-cloud collaborative framework for privacy-preserving code completion. A small language model runs locally for sensitive completions while non-sensitive queries are routed to a cloud LLM, using LibCST-based token substitution, cloaked docstrings, and an ephemeral RAM mapping table. Reported figures are a human privacy score of 10.0/10.0, Pass@1 of 90.0 percent on HumanEval, and a functional score of 8.93/10.0. Limitations: a dedicated GPU with at least 16 GB of VRAM is required, the privacy evaluation is manual rather than automated, and no formal structural-invariance guarantee is provided.</w:t>
      </w:r>
    </w:p>
    <w:p>
      <w:pPr>
        <w:spacing w:before="120" w:after="40" w:line="240" w:lineRule="auto"/>
        <w:jc w:val="left"/>
      </w:pPr>
      <w:r>
        <w:rPr>
          <w:rFonts w:ascii="Times New Roman" w:hAnsi="Times New Roman"/>
          <w:i/>
          <w:sz w:val="20"/>
        </w:rPr>
        <w:t>B.  LLM-Driven Obfuscation (De Tomasi et al.)</w:t>
      </w:r>
    </w:p>
    <w:p>
      <w:pPr>
        <w:spacing w:after="0" w:before="0" w:line="240" w:lineRule="auto"/>
        <w:ind w:firstLine="288"/>
        <w:jc w:val="both"/>
      </w:pPr>
      <w:r>
        <w:rPr>
          <w:rFonts w:ascii="Times New Roman" w:hAnsi="Times New Roman"/>
          <w:b w:val="0"/>
          <w:i w:val="0"/>
          <w:sz w:val="20"/>
        </w:rPr>
        <w:t>De Tomasi et al. (2025) prompt GPT-4, Claude 3.5, and Gemini 1.5 to obfuscate code and measure the resulting Semantic Elasticity from cyclomatic-complexity change, functional pass rate, and code-expansion ratio. The best pass rate is 80.93 percent (GPT-4, few-shot), with a complexity change of -1.27. Limitations: obfuscation is one-way with no reconstruction, the pass rate collapses to 28.55 percent under zero-shot prompting, negative complexity change indicates semantic mutation rather than preservation, and the transformations are non-deterministic across runs.</w:t>
      </w:r>
    </w:p>
    <w:p>
      <w:pPr>
        <w:spacing w:before="120" w:after="40" w:line="240" w:lineRule="auto"/>
        <w:jc w:val="left"/>
      </w:pPr>
      <w:r>
        <w:rPr>
          <w:rFonts w:ascii="Times New Roman" w:hAnsi="Times New Roman"/>
          <w:i/>
          <w:sz w:val="20"/>
        </w:rPr>
        <w:t>C.  CodeCipher</w:t>
      </w:r>
    </w:p>
    <w:p>
      <w:pPr>
        <w:spacing w:after="0" w:before="0" w:line="240" w:lineRule="auto"/>
        <w:ind w:firstLine="288"/>
        <w:jc w:val="both"/>
      </w:pPr>
      <w:r>
        <w:rPr>
          <w:rFonts w:ascii="Times New Roman" w:hAnsi="Times New Roman"/>
          <w:b w:val="0"/>
          <w:i w:val="0"/>
          <w:sz w:val="20"/>
        </w:rPr>
        <w:t>Lin et al. (2024) perturb continuous token embeddings to prevent identifier recovery while maintaining task performance, applying learned permutations in embedding space before cloud inference. Reported figures are Pass@1 of 47.56 percent (against 50.60 percent unperturbed), a 34.0 percent deobfuscation rate, and a 0 percent compilation rate. Limitations: white-box access to model internals is required, the output is syntactically invalid code, and a 34 percent deobfuscation rate implies substantial residual leakage.</w:t>
      </w:r>
    </w:p>
    <w:p>
      <w:pPr>
        <w:spacing w:before="120" w:after="40" w:line="240" w:lineRule="auto"/>
        <w:jc w:val="left"/>
      </w:pPr>
      <w:r>
        <w:rPr>
          <w:rFonts w:ascii="Times New Roman" w:hAnsi="Times New Roman"/>
          <w:i/>
          <w:sz w:val="20"/>
        </w:rPr>
        <w:t>D.  MaskSQL</w:t>
      </w:r>
    </w:p>
    <w:p>
      <w:pPr>
        <w:spacing w:after="0" w:before="0" w:line="240" w:lineRule="auto"/>
        <w:ind w:firstLine="288"/>
        <w:jc w:val="both"/>
      </w:pPr>
      <w:r>
        <w:rPr>
          <w:rFonts w:ascii="Times New Roman" w:hAnsi="Times New Roman"/>
          <w:b w:val="0"/>
          <w:i w:val="0"/>
          <w:sz w:val="20"/>
        </w:rPr>
        <w:t>Abedini et al. (2025) present MaskSQL, a bijective token-masking framework for privacy-preserving Text-to-SQL that replaces schema names and literal values with placeholders before cloud inference and uses a local 7B-parameter model for post-reconstruction correction. Execution accuracy ranges from 55.66 to 62.66 percent, with a masking recall of 61.36 percent and a re-identification score of 75.47 percent. Limitations: the method is specific to SQL, requires a 7B local model, leaves 38.64 percent of sensitive tokens exposed, and adds 150-300 ms of latency per query.</w:t>
      </w:r>
    </w:p>
    <w:p>
      <w:pPr>
        <w:spacing w:before="200" w:after="60" w:line="240" w:lineRule="auto"/>
        <w:jc w:val="center"/>
      </w:pPr>
      <w:r>
        <w:rPr>
          <w:rFonts w:ascii="Times New Roman" w:hAnsi="Times New Roman"/>
          <w:smallCaps/>
          <w:sz w:val="20"/>
        </w:rPr>
        <w:t>III.  SYSTEM ARCHITECTURE AND METHODOLOGY</w:t>
      </w:r>
    </w:p>
    <w:p>
      <w:pPr>
        <w:spacing w:before="120" w:after="40" w:line="240" w:lineRule="auto"/>
        <w:jc w:val="left"/>
      </w:pPr>
      <w:r>
        <w:rPr>
          <w:rFonts w:ascii="Times New Roman" w:hAnsi="Times New Roman"/>
          <w:i/>
          <w:sz w:val="20"/>
        </w:rPr>
        <w:t>A.  Overview</w:t>
      </w:r>
    </w:p>
    <w:p>
      <w:pPr>
        <w:spacing w:after="0" w:before="0" w:line="240" w:lineRule="auto"/>
        <w:ind w:firstLine="288"/>
        <w:jc w:val="both"/>
      </w:pPr>
      <w:r>
        <w:rPr>
          <w:rFonts w:ascii="Times New Roman" w:hAnsi="Times New Roman"/>
          <w:b w:val="0"/>
          <w:i w:val="0"/>
          <w:sz w:val="20"/>
        </w:rPr>
        <w:t>CodeAbstract implements a four-stage pipeline that runs entirely on the client. Only the sanitized intermediate representation is transmitted to the cloud LLM:</w:t>
      </w:r>
    </w:p>
    <w:p>
      <w:pPr>
        <w:spacing w:before="60" w:after="60"/>
        <w:jc w:val="center"/>
      </w:pPr>
      <w:r>
        <w:rPr>
          <w:rFonts w:ascii="Times New Roman" w:hAnsi="Times New Roman"/>
          <w:sz w:val="18"/>
        </w:rPr>
        <w:t>S  →[ABSTRACT]→  (S̃, M̃, K)  →[Cloud LLM]→  R  →[RECONSTRUCT]→  F</w:t>
      </w:r>
    </w:p>
    <w:p>
      <w:pPr>
        <w:spacing w:after="0" w:before="0" w:line="240" w:lineRule="auto"/>
        <w:ind w:firstLine="288"/>
        <w:jc w:val="both"/>
      </w:pPr>
      <w:r>
        <w:rPr>
          <w:rFonts w:ascii="Times New Roman" w:hAnsi="Times New Roman"/>
          <w:b w:val="0"/>
          <w:i w:val="0"/>
          <w:sz w:val="20"/>
        </w:rPr>
        <w:t>Here S is the original source, S̃ the abstracted privacy-safe source, M̃ the encrypted mapping table (AES-128-CBC with HMAC-SHA256), K the local encryption key that is never transmitted, R the LLM response containing abstract tokens, and F the final reconstructed feedback carrying original identifiers.</w:t>
      </w:r>
    </w:p>
    <w:p>
      <w:pPr>
        <w:spacing w:before="120" w:after="40" w:line="240" w:lineRule="auto"/>
        <w:jc w:val="left"/>
      </w:pPr>
      <w:r>
        <w:rPr>
          <w:rFonts w:ascii="Times New Roman" w:hAnsi="Times New Roman"/>
          <w:i/>
          <w:sz w:val="20"/>
        </w:rPr>
        <w:t>B.  Algorithm 1: ABSTRACT(S, k, ℓ)</w:t>
      </w:r>
    </w:p>
    <w:p>
      <w:pPr>
        <w:spacing w:after="0" w:before="0" w:line="240" w:lineRule="auto"/>
        <w:ind w:firstLine="288"/>
        <w:jc w:val="both"/>
      </w:pPr>
      <w:r>
        <w:rPr>
          <w:rFonts w:ascii="Times New Roman" w:hAnsi="Times New Roman"/>
          <w:b w:val="0"/>
          <w:i w:val="0"/>
          <w:sz w:val="20"/>
        </w:rPr>
        <w:t>ABSTRACT parses the source into an AST, walks every node, classifies each for sensitivity, generates unique typed tokens with consistent reuse, and unparses back to abstract source code. The privacy level ℓ ∈ {low, medium, high, critical} controls which categories are abstracted.</w:t>
      </w:r>
    </w:p>
    <w:p>
      <w:pPr>
        <w:spacing w:line="240" w:lineRule="auto" w:after="0"/>
        <w:ind w:left="144"/>
      </w:pPr>
      <w:r>
        <w:rPr>
          <w:rFonts w:ascii="Consolas" w:hAnsi="Consolas"/>
          <w:sz w:val="15"/>
        </w:rPr>
        <w:t>1  T  ← AST.parse(S)                    # parse to AST</w:t>
      </w:r>
    </w:p>
    <w:p>
      <w:pPr>
        <w:spacing w:line="240" w:lineRule="auto" w:after="0"/>
        <w:ind w:left="144"/>
      </w:pPr>
      <w:r>
        <w:rPr>
          <w:rFonts w:ascii="Consolas" w:hAnsi="Consolas"/>
          <w:sz w:val="15"/>
        </w:rPr>
        <w:t>2  M  ← ∅                              # mapping table</w:t>
      </w:r>
    </w:p>
    <w:p>
      <w:pPr>
        <w:spacing w:line="240" w:lineRule="auto" w:after="0"/>
        <w:ind w:left="144"/>
      </w:pPr>
      <w:r>
        <w:rPr>
          <w:rFonts w:ascii="Consolas" w:hAnsi="Consolas"/>
          <w:sz w:val="15"/>
        </w:rPr>
        <w:t>3  C  ← {FUNC:0, VAR:0, SECRET:0, ...}   # per-prefix counters</w:t>
      </w:r>
    </w:p>
    <w:p>
      <w:pPr>
        <w:spacing w:line="240" w:lineRule="auto" w:after="0"/>
        <w:ind w:left="144"/>
      </w:pPr>
      <w:r>
        <w:rPr>
          <w:rFonts w:ascii="Consolas" w:hAnsi="Consolas"/>
          <w:sz w:val="15"/>
        </w:rPr>
        <w:t>4  seen ← ∅                           # name -&gt; token cache</w:t>
      </w:r>
    </w:p>
    <w:p>
      <w:pPr>
        <w:spacing w:line="240" w:lineRule="auto" w:after="0"/>
        <w:ind w:left="144"/>
      </w:pPr>
      <w:r>
        <w:rPr>
          <w:rFonts w:ascii="Consolas" w:hAnsi="Consolas"/>
          <w:sz w:val="15"/>
        </w:rPr>
        <w:t>5  for each node e in AST.walk(T):</w:t>
      </w:r>
    </w:p>
    <w:p>
      <w:pPr>
        <w:spacing w:line="240" w:lineRule="auto" w:after="0"/>
        <w:ind w:left="144"/>
      </w:pPr>
      <w:r>
        <w:rPr>
          <w:rFonts w:ascii="Consolas" w:hAnsi="Consolas"/>
          <w:sz w:val="15"/>
        </w:rPr>
        <w:t>6      if not is_significant(e): continue</w:t>
      </w:r>
    </w:p>
    <w:p>
      <w:pPr>
        <w:spacing w:line="240" w:lineRule="auto" w:after="0"/>
        <w:ind w:left="144"/>
      </w:pPr>
      <w:r>
        <w:rPr>
          <w:rFonts w:ascii="Consolas" w:hAnsi="Consolas"/>
          <w:sz w:val="15"/>
        </w:rPr>
        <w:t>7      name  ← extract_name(e)</w:t>
      </w:r>
    </w:p>
    <w:p>
      <w:pPr>
        <w:spacing w:line="240" w:lineRule="auto" w:after="0"/>
        <w:ind w:left="144"/>
      </w:pPr>
      <w:r>
        <w:rPr>
          <w:rFonts w:ascii="Consolas" w:hAnsi="Consolas"/>
          <w:sz w:val="15"/>
        </w:rPr>
        <w:t>8      label ← CLASSIFY(e)               # Algorithm 2</w:t>
      </w:r>
    </w:p>
    <w:p>
      <w:pPr>
        <w:spacing w:line="240" w:lineRule="auto" w:after="0"/>
        <w:ind w:left="144"/>
      </w:pPr>
      <w:r>
        <w:rPr>
          <w:rFonts w:ascii="Consolas" w:hAnsi="Consolas"/>
          <w:sz w:val="15"/>
        </w:rPr>
        <w:t>9      if not should_abstract(label, ℓ): continue</w:t>
      </w:r>
    </w:p>
    <w:p>
      <w:pPr>
        <w:spacing w:line="240" w:lineRule="auto" w:after="0"/>
        <w:ind w:left="144"/>
      </w:pPr>
      <w:r>
        <w:rPr>
          <w:rFonts w:ascii="Consolas" w:hAnsi="Consolas"/>
          <w:sz w:val="15"/>
        </w:rPr>
        <w:t>10     if name in seen:</w:t>
      </w:r>
    </w:p>
    <w:p>
      <w:pPr>
        <w:spacing w:line="240" w:lineRule="auto" w:after="0"/>
        <w:ind w:left="144"/>
      </w:pPr>
      <w:r>
        <w:rPr>
          <w:rFonts w:ascii="Consolas" w:hAnsi="Consolas"/>
          <w:sz w:val="15"/>
        </w:rPr>
        <w:t>11         token ← seen[name]            # reuse for consistency</w:t>
      </w:r>
    </w:p>
    <w:p>
      <w:pPr>
        <w:spacing w:line="240" w:lineRule="auto" w:after="0"/>
        <w:ind w:left="144"/>
      </w:pPr>
      <w:r>
        <w:rPr>
          <w:rFonts w:ascii="Consolas" w:hAnsi="Consolas"/>
          <w:sz w:val="15"/>
        </w:rPr>
        <w:t>12     else:</w:t>
      </w:r>
    </w:p>
    <w:p>
      <w:pPr>
        <w:spacing w:line="240" w:lineRule="auto" w:after="0"/>
        <w:ind w:left="144"/>
      </w:pPr>
      <w:r>
        <w:rPr>
          <w:rFonts w:ascii="Consolas" w:hAnsi="Consolas"/>
          <w:sz w:val="15"/>
        </w:rPr>
        <w:t>13         prefix ← label_to_prefix(label, type(e))</w:t>
      </w:r>
    </w:p>
    <w:p>
      <w:pPr>
        <w:spacing w:line="240" w:lineRule="auto" w:after="0"/>
        <w:ind w:left="144"/>
      </w:pPr>
      <w:r>
        <w:rPr>
          <w:rFonts w:ascii="Consolas" w:hAnsi="Consolas"/>
          <w:sz w:val="15"/>
        </w:rPr>
        <w:t>14         token  ← prefix + '_' + C[prefix]++</w:t>
      </w:r>
    </w:p>
    <w:p>
      <w:pPr>
        <w:spacing w:line="240" w:lineRule="auto" w:after="0"/>
        <w:ind w:left="144"/>
      </w:pPr>
      <w:r>
        <w:rPr>
          <w:rFonts w:ascii="Consolas" w:hAnsi="Consolas"/>
          <w:sz w:val="15"/>
        </w:rPr>
        <w:t>15         ctx    ← GET_CONTEXT(S, e.lineno, k)</w:t>
      </w:r>
    </w:p>
    <w:p>
      <w:pPr>
        <w:spacing w:line="240" w:lineRule="auto" w:after="0"/>
        <w:ind w:left="144"/>
      </w:pPr>
      <w:r>
        <w:rPr>
          <w:rFonts w:ascii="Consolas" w:hAnsi="Consolas"/>
          <w:sz w:val="15"/>
        </w:rPr>
        <w:t>16         M[token] ← {name, label, type(e), lineno, ctx}</w:t>
      </w:r>
    </w:p>
    <w:p>
      <w:pPr>
        <w:spacing w:line="240" w:lineRule="auto" w:after="0"/>
        <w:ind w:left="144"/>
      </w:pPr>
      <w:r>
        <w:rPr>
          <w:rFonts w:ascii="Consolas" w:hAnsi="Consolas"/>
          <w:sz w:val="15"/>
        </w:rPr>
        <w:t>17         seen[name] ← token</w:t>
      </w:r>
    </w:p>
    <w:p>
      <w:pPr>
        <w:spacing w:line="240" w:lineRule="auto" w:after="0"/>
        <w:ind w:left="144"/>
      </w:pPr>
      <w:r>
        <w:rPr>
          <w:rFonts w:ascii="Consolas" w:hAnsi="Consolas"/>
          <w:sz w:val="15"/>
        </w:rPr>
        <w:t>18     replace_node(e, token)</w:t>
      </w:r>
    </w:p>
    <w:p>
      <w:pPr>
        <w:spacing w:line="240" w:lineRule="auto" w:after="0"/>
        <w:ind w:left="144"/>
      </w:pPr>
      <w:r>
        <w:rPr>
          <w:rFonts w:ascii="Consolas" w:hAnsi="Consolas"/>
          <w:sz w:val="15"/>
        </w:rPr>
        <w:t>19 S̃ ← AST.unparse(T)</w:t>
      </w:r>
    </w:p>
    <w:p>
      <w:pPr>
        <w:spacing w:line="240" w:lineRule="auto" w:after="0"/>
        <w:ind w:left="144"/>
      </w:pPr>
      <w:r>
        <w:rPr>
          <w:rFonts w:ascii="Consolas" w:hAnsi="Consolas"/>
          <w:sz w:val="15"/>
        </w:rPr>
        <w:t>20 (M̃, K) ← ENCRYPT(M)               # Algorithm 4</w:t>
      </w:r>
    </w:p>
    <w:p>
      <w:pPr>
        <w:spacing w:line="240" w:lineRule="auto" w:after="0"/>
        <w:ind w:left="144"/>
      </w:pPr>
      <w:r>
        <w:rPr>
          <w:rFonts w:ascii="Consolas" w:hAnsi="Consolas"/>
          <w:sz w:val="15"/>
        </w:rPr>
        <w:t>21 return (S̃, M̃, K)</w:t>
      </w:r>
    </w:p>
    <w:p>
      <w:pPr>
        <w:spacing w:after="0" w:before="0" w:line="240" w:lineRule="auto"/>
        <w:ind w:firstLine="288"/>
        <w:jc w:val="both"/>
      </w:pPr>
      <w:r>
        <w:rPr>
          <w:rFonts w:ascii="Times New Roman" w:hAnsi="Times New Roman"/>
          <w:b w:val="0"/>
          <w:i w:val="0"/>
          <w:sz w:val="20"/>
        </w:rPr>
        <w:t>Three properties follow by construction. The mapping is bijective: each unique identifier maps to exactly one token and back. Reuse is consistent: repeated names receive the same token, preserving referential consistency. Replacement is AST-level rather than string substitution, which guarantees syntactic validity of the output.</w:t>
      </w:r>
    </w:p>
    <w:p>
      <w:pPr>
        <w:spacing w:before="120" w:after="40" w:line="240" w:lineRule="auto"/>
        <w:jc w:val="left"/>
      </w:pPr>
      <w:r>
        <w:rPr>
          <w:rFonts w:ascii="Times New Roman" w:hAnsi="Times New Roman"/>
          <w:i/>
          <w:sz w:val="20"/>
        </w:rPr>
        <w:t>C.  Algorithm 2: CLASSIFY(e)</w:t>
      </w:r>
    </w:p>
    <w:p>
      <w:pPr>
        <w:spacing w:after="0" w:before="0" w:line="240" w:lineRule="auto"/>
        <w:ind w:firstLine="288"/>
        <w:jc w:val="both"/>
      </w:pPr>
      <w:r>
        <w:rPr>
          <w:rFonts w:ascii="Times New Roman" w:hAnsi="Times New Roman"/>
          <w:b w:val="0"/>
          <w:i w:val="0"/>
          <w:sz w:val="20"/>
        </w:rPr>
        <w:t>CLASSIFY assigns each significant node a label from {SECRET, VALUE, IDENTIFIER}. It extracts the node text (name plus any literal value), tests it against the SECRET pattern set (18 regular expressions covering api[_-]?key, password, secret, token, credential, connection strings, and related forms), then against the VALUE pattern set (17 expressions covering prices, rates, endpoints, URLs, e-mail addresses), then treats remaining numeric constants as VALUE, and otherwise returns IDENTIFIER. Placeholder literals such as “your-api-key-here” are explicitly demoted so they are not misclassified as secrets. The hierarchy in decreasing sensitivity is SECRET (credentials), VALUE (business-sensitive literals), IDENTIFIER (all other significant names).</w:t>
      </w:r>
    </w:p>
    <w:p>
      <w:pPr>
        <w:spacing w:before="120" w:after="40" w:line="240" w:lineRule="auto"/>
        <w:jc w:val="left"/>
      </w:pPr>
      <w:r>
        <w:rPr>
          <w:rFonts w:ascii="Times New Roman" w:hAnsi="Times New Roman"/>
          <w:i/>
          <w:sz w:val="20"/>
        </w:rPr>
        <w:t>D.  Algorithm 3: RECONSTRUCT(R, M̃, K)</w:t>
      </w:r>
    </w:p>
    <w:p>
      <w:pPr>
        <w:spacing w:after="0" w:before="0" w:line="240" w:lineRule="auto"/>
        <w:ind w:firstLine="288"/>
        <w:jc w:val="both"/>
      </w:pPr>
      <w:r>
        <w:rPr>
          <w:rFonts w:ascii="Times New Roman" w:hAnsi="Times New Roman"/>
          <w:b w:val="0"/>
          <w:i w:val="0"/>
          <w:sz w:val="20"/>
        </w:rPr>
        <w:t>RECONSTRUCT decrypts the mapping, extracts every abstract token in the LLM response using the pattern (FUNC|VAR|SECRET|CONST|NUM|CLASS)_\d+, replaces each token found in the mapping with its original name, and appends formatted source-context blocks for the referenced identifiers. Because ABSTRACT builds a bijection and RECONSTRUCT applies its inverse with exact string replacement, every token in R that exists in the mapping is resolved deterministically.</w:t>
      </w:r>
    </w:p>
    <w:p>
      <w:pPr>
        <w:spacing w:before="120" w:after="40" w:line="240" w:lineRule="auto"/>
        <w:jc w:val="left"/>
      </w:pPr>
      <w:r>
        <w:rPr>
          <w:rFonts w:ascii="Times New Roman" w:hAnsi="Times New Roman"/>
          <w:i/>
          <w:sz w:val="20"/>
        </w:rPr>
        <w:t>E.  Algorithm 4: ENCRYPT / DECRYPT</w:t>
      </w:r>
    </w:p>
    <w:p>
      <w:pPr>
        <w:spacing w:after="0" w:before="0" w:line="240" w:lineRule="auto"/>
        <w:ind w:firstLine="288"/>
        <w:jc w:val="both"/>
      </w:pPr>
      <w:r>
        <w:rPr>
          <w:rFonts w:ascii="Times New Roman" w:hAnsi="Times New Roman"/>
          <w:b w:val="0"/>
          <w:i w:val="0"/>
          <w:sz w:val="20"/>
        </w:rPr>
        <w:t>The mapping table is secured with Fernet symmetric encryption (AES-128-CBC with HMAC-SHA256 authentication). ENCRYPT serializes the mapping to JSON, generates a fresh Fernet key, and returns the ciphertext together with the key; DECRYPT verifies the HMAC and reverses the process. The key is a randomly generated 256-bit url-safe value that never leaves the local machine.</w:t>
      </w:r>
    </w:p>
    <w:p>
      <w:pPr>
        <w:spacing w:before="120" w:after="40" w:line="240" w:lineRule="auto"/>
        <w:jc w:val="left"/>
      </w:pPr>
      <w:r>
        <w:rPr>
          <w:rFonts w:ascii="Times New Roman" w:hAnsi="Times New Roman"/>
          <w:i/>
          <w:sz w:val="20"/>
        </w:rPr>
        <w:t>F.  Privacy-Level Hierarchy</w:t>
      </w:r>
    </w:p>
    <w:p>
      <w:pPr>
        <w:spacing w:after="0" w:before="0" w:line="240" w:lineRule="auto"/>
        <w:ind w:firstLine="288"/>
        <w:jc w:val="both"/>
      </w:pPr>
      <w:r>
        <w:rPr>
          <w:rFonts w:ascii="Times New Roman" w:hAnsi="Times New Roman"/>
          <w:b w:val="0"/>
          <w:i w:val="0"/>
          <w:sz w:val="20"/>
        </w:rPr>
        <w:t>Four tiers control abstraction aggressiveness: low abstracts SECRET only; medium abstracts SECRET and VALUE; high abstracts SECRET, VALUE, and IDENTIFIER; critical abstracts all nodes for complete anonymization. All experiments below use the high level.</w:t>
      </w:r>
    </w:p>
    <w:p>
      <w:pPr>
        <w:spacing w:before="200" w:after="60" w:line="240" w:lineRule="auto"/>
        <w:jc w:val="center"/>
      </w:pPr>
      <w:r>
        <w:rPr>
          <w:rFonts w:ascii="Times New Roman" w:hAnsi="Times New Roman"/>
          <w:smallCaps/>
          <w:sz w:val="20"/>
        </w:rPr>
        <w:t>IV.  EVALUATION METHODOLOGY</w:t>
      </w:r>
    </w:p>
    <w:p>
      <w:pPr>
        <w:spacing w:before="120" w:after="40" w:line="240" w:lineRule="auto"/>
        <w:jc w:val="left"/>
      </w:pPr>
      <w:r>
        <w:rPr>
          <w:rFonts w:ascii="Times New Roman" w:hAnsi="Times New Roman"/>
          <w:i/>
          <w:sz w:val="20"/>
        </w:rPr>
        <w:t>A.  Benchmark Corpus</w:t>
      </w:r>
    </w:p>
    <w:p>
      <w:pPr>
        <w:spacing w:after="0" w:before="0" w:line="240" w:lineRule="auto"/>
        <w:ind w:firstLine="288"/>
        <w:jc w:val="both"/>
      </w:pPr>
      <w:r>
        <w:rPr>
          <w:rFonts w:ascii="Times New Roman" w:hAnsi="Times New Roman"/>
          <w:b w:val="0"/>
          <w:i w:val="0"/>
          <w:sz w:val="20"/>
        </w:rPr>
        <w:t>CodeAbstract is evaluated on a curated corpus of ten Python modules spanning eleven code domains with 390 lines of code, designed to cover diverse sensitivity profiles (Table I). The corpus contains 65 secret tokens and 267 business-value tokens in total.</w:t>
      </w:r>
    </w:p>
    <w:p>
      <w:pPr>
        <w:spacing w:before="160" w:after="40"/>
        <w:jc w:val="center"/>
      </w:pPr>
      <w:r>
        <w:rPr>
          <w:rFonts w:ascii="Times New Roman" w:hAnsi="Times New Roman"/>
          <w:smallCaps/>
          <w:sz w:val="16"/>
        </w:rPr>
        <w:t>Table I.  Benchmark Corpus</w:t>
      </w:r>
    </w:p>
    <w:tbl>
      <w:tblPr>
        <w:tblStyle w:val="TableGrid"/>
        <w:tblW w:type="auto" w:w="0"/>
        <w:jc w:val="center"/>
        <w:tblLook w:firstColumn="1" w:firstRow="1" w:lastColumn="0" w:lastRow="0" w:noHBand="0" w:noVBand="1" w:val="04A0"/>
      </w:tblPr>
      <w:tblGrid>
        <w:gridCol w:w="2022"/>
        <w:gridCol w:w="2022"/>
        <w:gridCol w:w="2022"/>
        <w:gridCol w:w="2022"/>
        <w:gridCol w:w="2022"/>
      </w:tblGrid>
      <w:tr>
        <w:tc>
          <w:tcPr>
            <w:tcW w:type="dxa" w:w="1944"/>
          </w:tcPr>
          <w:p>
            <w:pPr>
              <w:jc w:val="center"/>
            </w:pPr>
            <w:r/>
            <w:r>
              <w:rPr>
                <w:rFonts w:ascii="Times New Roman" w:hAnsi="Times New Roman"/>
                <w:b/>
                <w:sz w:val="15"/>
              </w:rPr>
              <w:t>Module</w:t>
            </w:r>
          </w:p>
        </w:tc>
        <w:tc>
          <w:tcPr>
            <w:tcW w:type="dxa" w:w="576"/>
          </w:tcPr>
          <w:p>
            <w:pPr>
              <w:jc w:val="center"/>
            </w:pPr>
            <w:r/>
            <w:r>
              <w:rPr>
                <w:rFonts w:ascii="Times New Roman" w:hAnsi="Times New Roman"/>
                <w:b/>
                <w:sz w:val="15"/>
              </w:rPr>
              <w:t>LOC</w:t>
            </w:r>
          </w:p>
        </w:tc>
        <w:tc>
          <w:tcPr>
            <w:tcW w:type="dxa" w:w="1656"/>
          </w:tcPr>
          <w:p>
            <w:pPr>
              <w:jc w:val="center"/>
            </w:pPr>
            <w:r/>
            <w:r>
              <w:rPr>
                <w:rFonts w:ascii="Times New Roman" w:hAnsi="Times New Roman"/>
                <w:b/>
                <w:sz w:val="15"/>
              </w:rPr>
              <w:t>Domain</w:t>
            </w:r>
          </w:p>
        </w:tc>
        <w:tc>
          <w:tcPr>
            <w:tcW w:type="dxa" w:w="720"/>
          </w:tcPr>
          <w:p>
            <w:pPr>
              <w:jc w:val="center"/>
            </w:pPr>
            <w:r/>
            <w:r>
              <w:rPr>
                <w:rFonts w:ascii="Times New Roman" w:hAnsi="Times New Roman"/>
                <w:b/>
                <w:sz w:val="15"/>
              </w:rPr>
              <w:t>Secrets</w:t>
            </w:r>
          </w:p>
        </w:tc>
        <w:tc>
          <w:tcPr>
            <w:tcW w:type="dxa" w:w="648"/>
          </w:tcPr>
          <w:p>
            <w:pPr>
              <w:jc w:val="center"/>
            </w:pPr>
            <w:r/>
            <w:r>
              <w:rPr>
                <w:rFonts w:ascii="Times New Roman" w:hAnsi="Times New Roman"/>
                <w:b/>
                <w:sz w:val="15"/>
              </w:rPr>
              <w:t>Values</w:t>
            </w:r>
          </w:p>
        </w:tc>
      </w:tr>
      <w:tr>
        <w:tc>
          <w:tcPr>
            <w:tcW w:type="dxa" w:w="1944"/>
          </w:tcPr>
          <w:p>
            <w:pPr>
              <w:jc w:val="left"/>
            </w:pPr>
            <w:r/>
            <w:r>
              <w:rPr>
                <w:rFonts w:ascii="Times New Roman" w:hAnsi="Times New Roman"/>
                <w:sz w:val="15"/>
              </w:rPr>
              <w:t>api_client</w:t>
            </w:r>
          </w:p>
        </w:tc>
        <w:tc>
          <w:tcPr>
            <w:tcW w:type="dxa" w:w="576"/>
          </w:tcPr>
          <w:p>
            <w:pPr>
              <w:jc w:val="center"/>
            </w:pPr>
            <w:r/>
            <w:r>
              <w:rPr>
                <w:rFonts w:ascii="Times New Roman" w:hAnsi="Times New Roman"/>
                <w:sz w:val="15"/>
              </w:rPr>
              <w:t>42</w:t>
            </w:r>
          </w:p>
        </w:tc>
        <w:tc>
          <w:tcPr>
            <w:tcW w:type="dxa" w:w="1656"/>
          </w:tcPr>
          <w:p>
            <w:pPr>
              <w:jc w:val="center"/>
            </w:pPr>
            <w:r/>
            <w:r>
              <w:rPr>
                <w:rFonts w:ascii="Times New Roman" w:hAnsi="Times New Roman"/>
                <w:sz w:val="15"/>
              </w:rPr>
              <w:t>API integration</w:t>
            </w:r>
          </w:p>
        </w:tc>
        <w:tc>
          <w:tcPr>
            <w:tcW w:type="dxa" w:w="720"/>
          </w:tcPr>
          <w:p>
            <w:pPr>
              <w:jc w:val="center"/>
            </w:pPr>
            <w:r/>
            <w:r>
              <w:rPr>
                <w:rFonts w:ascii="Times New Roman" w:hAnsi="Times New Roman"/>
                <w:sz w:val="15"/>
              </w:rPr>
              <w:t>10</w:t>
            </w:r>
          </w:p>
        </w:tc>
        <w:tc>
          <w:tcPr>
            <w:tcW w:type="dxa" w:w="648"/>
          </w:tcPr>
          <w:p>
            <w:pPr>
              <w:jc w:val="center"/>
            </w:pPr>
            <w:r/>
            <w:r>
              <w:rPr>
                <w:rFonts w:ascii="Times New Roman" w:hAnsi="Times New Roman"/>
                <w:sz w:val="15"/>
              </w:rPr>
              <w:t>16</w:t>
            </w:r>
          </w:p>
        </w:tc>
      </w:tr>
      <w:tr>
        <w:tc>
          <w:tcPr>
            <w:tcW w:type="dxa" w:w="1944"/>
          </w:tcPr>
          <w:p>
            <w:pPr>
              <w:jc w:val="left"/>
            </w:pPr>
            <w:r/>
            <w:r>
              <w:rPr>
                <w:rFonts w:ascii="Times New Roman" w:hAnsi="Times New Roman"/>
                <w:sz w:val="15"/>
              </w:rPr>
              <w:t>ecommerce_pricing</w:t>
            </w:r>
          </w:p>
        </w:tc>
        <w:tc>
          <w:tcPr>
            <w:tcW w:type="dxa" w:w="576"/>
          </w:tcPr>
          <w:p>
            <w:pPr>
              <w:jc w:val="center"/>
            </w:pPr>
            <w:r/>
            <w:r>
              <w:rPr>
                <w:rFonts w:ascii="Times New Roman" w:hAnsi="Times New Roman"/>
                <w:sz w:val="15"/>
              </w:rPr>
              <w:t>39</w:t>
            </w:r>
          </w:p>
        </w:tc>
        <w:tc>
          <w:tcPr>
            <w:tcW w:type="dxa" w:w="1656"/>
          </w:tcPr>
          <w:p>
            <w:pPr>
              <w:jc w:val="center"/>
            </w:pPr>
            <w:r/>
            <w:r>
              <w:rPr>
                <w:rFonts w:ascii="Times New Roman" w:hAnsi="Times New Roman"/>
                <w:sz w:val="15"/>
              </w:rPr>
              <w:t>E-commerce</w:t>
            </w:r>
          </w:p>
        </w:tc>
        <w:tc>
          <w:tcPr>
            <w:tcW w:type="dxa" w:w="720"/>
          </w:tcPr>
          <w:p>
            <w:pPr>
              <w:jc w:val="center"/>
            </w:pPr>
            <w:r/>
            <w:r>
              <w:rPr>
                <w:rFonts w:ascii="Times New Roman" w:hAnsi="Times New Roman"/>
                <w:sz w:val="15"/>
              </w:rPr>
              <w:t>0</w:t>
            </w:r>
          </w:p>
        </w:tc>
        <w:tc>
          <w:tcPr>
            <w:tcW w:type="dxa" w:w="648"/>
          </w:tcPr>
          <w:p>
            <w:pPr>
              <w:jc w:val="center"/>
            </w:pPr>
            <w:r/>
            <w:r>
              <w:rPr>
                <w:rFonts w:ascii="Times New Roman" w:hAnsi="Times New Roman"/>
                <w:sz w:val="15"/>
              </w:rPr>
              <w:t>82</w:t>
            </w:r>
          </w:p>
        </w:tc>
      </w:tr>
      <w:tr>
        <w:tc>
          <w:tcPr>
            <w:tcW w:type="dxa" w:w="1944"/>
          </w:tcPr>
          <w:p>
            <w:pPr>
              <w:jc w:val="left"/>
            </w:pPr>
            <w:r/>
            <w:r>
              <w:rPr>
                <w:rFonts w:ascii="Times New Roman" w:hAnsi="Times New Roman"/>
                <w:sz w:val="15"/>
              </w:rPr>
              <w:t>ml_pipeline</w:t>
            </w:r>
          </w:p>
        </w:tc>
        <w:tc>
          <w:tcPr>
            <w:tcW w:type="dxa" w:w="576"/>
          </w:tcPr>
          <w:p>
            <w:pPr>
              <w:jc w:val="center"/>
            </w:pPr>
            <w:r/>
            <w:r>
              <w:rPr>
                <w:rFonts w:ascii="Times New Roman" w:hAnsi="Times New Roman"/>
                <w:sz w:val="15"/>
              </w:rPr>
              <w:t>48</w:t>
            </w:r>
          </w:p>
        </w:tc>
        <w:tc>
          <w:tcPr>
            <w:tcW w:type="dxa" w:w="1656"/>
          </w:tcPr>
          <w:p>
            <w:pPr>
              <w:jc w:val="center"/>
            </w:pPr>
            <w:r/>
            <w:r>
              <w:rPr>
                <w:rFonts w:ascii="Times New Roman" w:hAnsi="Times New Roman"/>
                <w:sz w:val="15"/>
              </w:rPr>
              <w:t>Machine learning</w:t>
            </w:r>
          </w:p>
        </w:tc>
        <w:tc>
          <w:tcPr>
            <w:tcW w:type="dxa" w:w="720"/>
          </w:tcPr>
          <w:p>
            <w:pPr>
              <w:jc w:val="center"/>
            </w:pPr>
            <w:r/>
            <w:r>
              <w:rPr>
                <w:rFonts w:ascii="Times New Roman" w:hAnsi="Times New Roman"/>
                <w:sz w:val="15"/>
              </w:rPr>
              <w:t>5</w:t>
            </w:r>
          </w:p>
        </w:tc>
        <w:tc>
          <w:tcPr>
            <w:tcW w:type="dxa" w:w="648"/>
          </w:tcPr>
          <w:p>
            <w:pPr>
              <w:jc w:val="center"/>
            </w:pPr>
            <w:r/>
            <w:r>
              <w:rPr>
                <w:rFonts w:ascii="Times New Roman" w:hAnsi="Times New Roman"/>
                <w:sz w:val="15"/>
              </w:rPr>
              <w:t>21</w:t>
            </w:r>
          </w:p>
        </w:tc>
      </w:tr>
      <w:tr>
        <w:tc>
          <w:tcPr>
            <w:tcW w:type="dxa" w:w="1944"/>
          </w:tcPr>
          <w:p>
            <w:pPr>
              <w:jc w:val="left"/>
            </w:pPr>
            <w:r/>
            <w:r>
              <w:rPr>
                <w:rFonts w:ascii="Times New Roman" w:hAnsi="Times New Roman"/>
                <w:sz w:val="15"/>
              </w:rPr>
              <w:t>web_server_config</w:t>
            </w:r>
          </w:p>
        </w:tc>
        <w:tc>
          <w:tcPr>
            <w:tcW w:type="dxa" w:w="576"/>
          </w:tcPr>
          <w:p>
            <w:pPr>
              <w:jc w:val="center"/>
            </w:pPr>
            <w:r/>
            <w:r>
              <w:rPr>
                <w:rFonts w:ascii="Times New Roman" w:hAnsi="Times New Roman"/>
                <w:sz w:val="15"/>
              </w:rPr>
              <w:t>31</w:t>
            </w:r>
          </w:p>
        </w:tc>
        <w:tc>
          <w:tcPr>
            <w:tcW w:type="dxa" w:w="1656"/>
          </w:tcPr>
          <w:p>
            <w:pPr>
              <w:jc w:val="center"/>
            </w:pPr>
            <w:r/>
            <w:r>
              <w:rPr>
                <w:rFonts w:ascii="Times New Roman" w:hAnsi="Times New Roman"/>
                <w:sz w:val="15"/>
              </w:rPr>
              <w:t>Web infrastructure</w:t>
            </w:r>
          </w:p>
        </w:tc>
        <w:tc>
          <w:tcPr>
            <w:tcW w:type="dxa" w:w="720"/>
          </w:tcPr>
          <w:p>
            <w:pPr>
              <w:jc w:val="center"/>
            </w:pPr>
            <w:r/>
            <w:r>
              <w:rPr>
                <w:rFonts w:ascii="Times New Roman" w:hAnsi="Times New Roman"/>
                <w:sz w:val="15"/>
              </w:rPr>
              <w:t>11</w:t>
            </w:r>
          </w:p>
        </w:tc>
        <w:tc>
          <w:tcPr>
            <w:tcW w:type="dxa" w:w="648"/>
          </w:tcPr>
          <w:p>
            <w:pPr>
              <w:jc w:val="center"/>
            </w:pPr>
            <w:r/>
            <w:r>
              <w:rPr>
                <w:rFonts w:ascii="Times New Roman" w:hAnsi="Times New Roman"/>
                <w:sz w:val="15"/>
              </w:rPr>
              <w:t>16</w:t>
            </w:r>
          </w:p>
        </w:tc>
      </w:tr>
      <w:tr>
        <w:tc>
          <w:tcPr>
            <w:tcW w:type="dxa" w:w="1944"/>
          </w:tcPr>
          <w:p>
            <w:pPr>
              <w:jc w:val="left"/>
            </w:pPr>
            <w:r/>
            <w:r>
              <w:rPr>
                <w:rFonts w:ascii="Times New Roman" w:hAnsi="Times New Roman"/>
                <w:sz w:val="15"/>
              </w:rPr>
              <w:t>simple_utility</w:t>
            </w:r>
          </w:p>
        </w:tc>
        <w:tc>
          <w:tcPr>
            <w:tcW w:type="dxa" w:w="576"/>
          </w:tcPr>
          <w:p>
            <w:pPr>
              <w:jc w:val="center"/>
            </w:pPr>
            <w:r/>
            <w:r>
              <w:rPr>
                <w:rFonts w:ascii="Times New Roman" w:hAnsi="Times New Roman"/>
                <w:sz w:val="15"/>
              </w:rPr>
              <w:t>41</w:t>
            </w:r>
          </w:p>
        </w:tc>
        <w:tc>
          <w:tcPr>
            <w:tcW w:type="dxa" w:w="1656"/>
          </w:tcPr>
          <w:p>
            <w:pPr>
              <w:jc w:val="center"/>
            </w:pPr>
            <w:r/>
            <w:r>
              <w:rPr>
                <w:rFonts w:ascii="Times New Roman" w:hAnsi="Times New Roman"/>
                <w:sz w:val="15"/>
              </w:rPr>
              <w:t>Utility functions</w:t>
            </w:r>
          </w:p>
        </w:tc>
        <w:tc>
          <w:tcPr>
            <w:tcW w:type="dxa" w:w="720"/>
          </w:tcPr>
          <w:p>
            <w:pPr>
              <w:jc w:val="center"/>
            </w:pPr>
            <w:r/>
            <w:r>
              <w:rPr>
                <w:rFonts w:ascii="Times New Roman" w:hAnsi="Times New Roman"/>
                <w:sz w:val="15"/>
              </w:rPr>
              <w:t>0</w:t>
            </w:r>
          </w:p>
        </w:tc>
        <w:tc>
          <w:tcPr>
            <w:tcW w:type="dxa" w:w="648"/>
          </w:tcPr>
          <w:p>
            <w:pPr>
              <w:jc w:val="center"/>
            </w:pPr>
            <w:r/>
            <w:r>
              <w:rPr>
                <w:rFonts w:ascii="Times New Roman" w:hAnsi="Times New Roman"/>
                <w:sz w:val="15"/>
              </w:rPr>
              <w:t>9</w:t>
            </w:r>
          </w:p>
        </w:tc>
      </w:tr>
      <w:tr>
        <w:tc>
          <w:tcPr>
            <w:tcW w:type="dxa" w:w="1944"/>
          </w:tcPr>
          <w:p>
            <w:pPr>
              <w:jc w:val="left"/>
            </w:pPr>
            <w:r/>
            <w:r>
              <w:rPr>
                <w:rFonts w:ascii="Times New Roman" w:hAnsi="Times New Roman"/>
                <w:sz w:val="15"/>
              </w:rPr>
              <w:t>auth_service</w:t>
            </w:r>
          </w:p>
        </w:tc>
        <w:tc>
          <w:tcPr>
            <w:tcW w:type="dxa" w:w="576"/>
          </w:tcPr>
          <w:p>
            <w:pPr>
              <w:jc w:val="center"/>
            </w:pPr>
            <w:r/>
            <w:r>
              <w:rPr>
                <w:rFonts w:ascii="Times New Roman" w:hAnsi="Times New Roman"/>
                <w:sz w:val="15"/>
              </w:rPr>
              <w:t>42</w:t>
            </w:r>
          </w:p>
        </w:tc>
        <w:tc>
          <w:tcPr>
            <w:tcW w:type="dxa" w:w="1656"/>
          </w:tcPr>
          <w:p>
            <w:pPr>
              <w:jc w:val="center"/>
            </w:pPr>
            <w:r/>
            <w:r>
              <w:rPr>
                <w:rFonts w:ascii="Times New Roman" w:hAnsi="Times New Roman"/>
                <w:sz w:val="15"/>
              </w:rPr>
              <w:t>Authentication</w:t>
            </w:r>
          </w:p>
        </w:tc>
        <w:tc>
          <w:tcPr>
            <w:tcW w:type="dxa" w:w="720"/>
          </w:tcPr>
          <w:p>
            <w:pPr>
              <w:jc w:val="center"/>
            </w:pPr>
            <w:r/>
            <w:r>
              <w:rPr>
                <w:rFonts w:ascii="Times New Roman" w:hAnsi="Times New Roman"/>
                <w:sz w:val="15"/>
              </w:rPr>
              <w:t>25</w:t>
            </w:r>
          </w:p>
        </w:tc>
        <w:tc>
          <w:tcPr>
            <w:tcW w:type="dxa" w:w="648"/>
          </w:tcPr>
          <w:p>
            <w:pPr>
              <w:jc w:val="center"/>
            </w:pPr>
            <w:r/>
            <w:r>
              <w:rPr>
                <w:rFonts w:ascii="Times New Roman" w:hAnsi="Times New Roman"/>
                <w:sz w:val="15"/>
              </w:rPr>
              <w:t>9</w:t>
            </w:r>
          </w:p>
        </w:tc>
      </w:tr>
      <w:tr>
        <w:tc>
          <w:tcPr>
            <w:tcW w:type="dxa" w:w="1944"/>
          </w:tcPr>
          <w:p>
            <w:pPr>
              <w:jc w:val="left"/>
            </w:pPr>
            <w:r/>
            <w:r>
              <w:rPr>
                <w:rFonts w:ascii="Times New Roman" w:hAnsi="Times New Roman"/>
                <w:sz w:val="15"/>
              </w:rPr>
              <w:t>financial_calculator</w:t>
            </w:r>
          </w:p>
        </w:tc>
        <w:tc>
          <w:tcPr>
            <w:tcW w:type="dxa" w:w="576"/>
          </w:tcPr>
          <w:p>
            <w:pPr>
              <w:jc w:val="center"/>
            </w:pPr>
            <w:r/>
            <w:r>
              <w:rPr>
                <w:rFonts w:ascii="Times New Roman" w:hAnsi="Times New Roman"/>
                <w:sz w:val="15"/>
              </w:rPr>
              <w:t>33</w:t>
            </w:r>
          </w:p>
        </w:tc>
        <w:tc>
          <w:tcPr>
            <w:tcW w:type="dxa" w:w="1656"/>
          </w:tcPr>
          <w:p>
            <w:pPr>
              <w:jc w:val="center"/>
            </w:pPr>
            <w:r/>
            <w:r>
              <w:rPr>
                <w:rFonts w:ascii="Times New Roman" w:hAnsi="Times New Roman"/>
                <w:sz w:val="15"/>
              </w:rPr>
              <w:t>Finance</w:t>
            </w:r>
          </w:p>
        </w:tc>
        <w:tc>
          <w:tcPr>
            <w:tcW w:type="dxa" w:w="720"/>
          </w:tcPr>
          <w:p>
            <w:pPr>
              <w:jc w:val="center"/>
            </w:pPr>
            <w:r/>
            <w:r>
              <w:rPr>
                <w:rFonts w:ascii="Times New Roman" w:hAnsi="Times New Roman"/>
                <w:sz w:val="15"/>
              </w:rPr>
              <w:t>0</w:t>
            </w:r>
          </w:p>
        </w:tc>
        <w:tc>
          <w:tcPr>
            <w:tcW w:type="dxa" w:w="648"/>
          </w:tcPr>
          <w:p>
            <w:pPr>
              <w:jc w:val="center"/>
            </w:pPr>
            <w:r/>
            <w:r>
              <w:rPr>
                <w:rFonts w:ascii="Times New Roman" w:hAnsi="Times New Roman"/>
                <w:sz w:val="15"/>
              </w:rPr>
              <w:t>40</w:t>
            </w:r>
          </w:p>
        </w:tc>
      </w:tr>
      <w:tr>
        <w:tc>
          <w:tcPr>
            <w:tcW w:type="dxa" w:w="1944"/>
          </w:tcPr>
          <w:p>
            <w:pPr>
              <w:jc w:val="left"/>
            </w:pPr>
            <w:r/>
            <w:r>
              <w:rPr>
                <w:rFonts w:ascii="Times New Roman" w:hAnsi="Times New Roman"/>
                <w:sz w:val="15"/>
              </w:rPr>
              <w:t>database_layer</w:t>
            </w:r>
          </w:p>
        </w:tc>
        <w:tc>
          <w:tcPr>
            <w:tcW w:type="dxa" w:w="576"/>
          </w:tcPr>
          <w:p>
            <w:pPr>
              <w:jc w:val="center"/>
            </w:pPr>
            <w:r/>
            <w:r>
              <w:rPr>
                <w:rFonts w:ascii="Times New Roman" w:hAnsi="Times New Roman"/>
                <w:sz w:val="15"/>
              </w:rPr>
              <w:t>41</w:t>
            </w:r>
          </w:p>
        </w:tc>
        <w:tc>
          <w:tcPr>
            <w:tcW w:type="dxa" w:w="1656"/>
          </w:tcPr>
          <w:p>
            <w:pPr>
              <w:jc w:val="center"/>
            </w:pPr>
            <w:r/>
            <w:r>
              <w:rPr>
                <w:rFonts w:ascii="Times New Roman" w:hAnsi="Times New Roman"/>
                <w:sz w:val="15"/>
              </w:rPr>
              <w:t>Database</w:t>
            </w:r>
          </w:p>
        </w:tc>
        <w:tc>
          <w:tcPr>
            <w:tcW w:type="dxa" w:w="720"/>
          </w:tcPr>
          <w:p>
            <w:pPr>
              <w:jc w:val="center"/>
            </w:pPr>
            <w:r/>
            <w:r>
              <w:rPr>
                <w:rFonts w:ascii="Times New Roman" w:hAnsi="Times New Roman"/>
                <w:sz w:val="15"/>
              </w:rPr>
              <w:t>6</w:t>
            </w:r>
          </w:p>
        </w:tc>
        <w:tc>
          <w:tcPr>
            <w:tcW w:type="dxa" w:w="648"/>
          </w:tcPr>
          <w:p>
            <w:pPr>
              <w:jc w:val="center"/>
            </w:pPr>
            <w:r/>
            <w:r>
              <w:rPr>
                <w:rFonts w:ascii="Times New Roman" w:hAnsi="Times New Roman"/>
                <w:sz w:val="15"/>
              </w:rPr>
              <w:t>9</w:t>
            </w:r>
          </w:p>
        </w:tc>
      </w:tr>
      <w:tr>
        <w:tc>
          <w:tcPr>
            <w:tcW w:type="dxa" w:w="1944"/>
          </w:tcPr>
          <w:p>
            <w:pPr>
              <w:jc w:val="left"/>
            </w:pPr>
            <w:r/>
            <w:r>
              <w:rPr>
                <w:rFonts w:ascii="Times New Roman" w:hAnsi="Times New Roman"/>
                <w:sz w:val="15"/>
              </w:rPr>
              <w:t>microservice_router</w:t>
            </w:r>
          </w:p>
        </w:tc>
        <w:tc>
          <w:tcPr>
            <w:tcW w:type="dxa" w:w="576"/>
          </w:tcPr>
          <w:p>
            <w:pPr>
              <w:jc w:val="center"/>
            </w:pPr>
            <w:r/>
            <w:r>
              <w:rPr>
                <w:rFonts w:ascii="Times New Roman" w:hAnsi="Times New Roman"/>
                <w:sz w:val="15"/>
              </w:rPr>
              <w:t>36</w:t>
            </w:r>
          </w:p>
        </w:tc>
        <w:tc>
          <w:tcPr>
            <w:tcW w:type="dxa" w:w="1656"/>
          </w:tcPr>
          <w:p>
            <w:pPr>
              <w:jc w:val="center"/>
            </w:pPr>
            <w:r/>
            <w:r>
              <w:rPr>
                <w:rFonts w:ascii="Times New Roman" w:hAnsi="Times New Roman"/>
                <w:sz w:val="15"/>
              </w:rPr>
              <w:t>Microservices</w:t>
            </w:r>
          </w:p>
        </w:tc>
        <w:tc>
          <w:tcPr>
            <w:tcW w:type="dxa" w:w="720"/>
          </w:tcPr>
          <w:p>
            <w:pPr>
              <w:jc w:val="center"/>
            </w:pPr>
            <w:r/>
            <w:r>
              <w:rPr>
                <w:rFonts w:ascii="Times New Roman" w:hAnsi="Times New Roman"/>
                <w:sz w:val="15"/>
              </w:rPr>
              <w:t>3</w:t>
            </w:r>
          </w:p>
        </w:tc>
        <w:tc>
          <w:tcPr>
            <w:tcW w:type="dxa" w:w="648"/>
          </w:tcPr>
          <w:p>
            <w:pPr>
              <w:jc w:val="center"/>
            </w:pPr>
            <w:r/>
            <w:r>
              <w:rPr>
                <w:rFonts w:ascii="Times New Roman" w:hAnsi="Times New Roman"/>
                <w:sz w:val="15"/>
              </w:rPr>
              <w:t>28</w:t>
            </w:r>
          </w:p>
        </w:tc>
      </w:tr>
      <w:tr>
        <w:tc>
          <w:tcPr>
            <w:tcW w:type="dxa" w:w="1944"/>
          </w:tcPr>
          <w:p>
            <w:pPr>
              <w:jc w:val="left"/>
            </w:pPr>
            <w:r/>
            <w:r>
              <w:rPr>
                <w:rFonts w:ascii="Times New Roman" w:hAnsi="Times New Roman"/>
                <w:sz w:val="15"/>
              </w:rPr>
              <w:t>analytics_engine</w:t>
            </w:r>
          </w:p>
        </w:tc>
        <w:tc>
          <w:tcPr>
            <w:tcW w:type="dxa" w:w="576"/>
          </w:tcPr>
          <w:p>
            <w:pPr>
              <w:jc w:val="center"/>
            </w:pPr>
            <w:r/>
            <w:r>
              <w:rPr>
                <w:rFonts w:ascii="Times New Roman" w:hAnsi="Times New Roman"/>
                <w:sz w:val="15"/>
              </w:rPr>
              <w:t>37</w:t>
            </w:r>
          </w:p>
        </w:tc>
        <w:tc>
          <w:tcPr>
            <w:tcW w:type="dxa" w:w="1656"/>
          </w:tcPr>
          <w:p>
            <w:pPr>
              <w:jc w:val="center"/>
            </w:pPr>
            <w:r/>
            <w:r>
              <w:rPr>
                <w:rFonts w:ascii="Times New Roman" w:hAnsi="Times New Roman"/>
                <w:sz w:val="15"/>
              </w:rPr>
              <w:t>Analytics</w:t>
            </w:r>
          </w:p>
        </w:tc>
        <w:tc>
          <w:tcPr>
            <w:tcW w:type="dxa" w:w="720"/>
          </w:tcPr>
          <w:p>
            <w:pPr>
              <w:jc w:val="center"/>
            </w:pPr>
            <w:r/>
            <w:r>
              <w:rPr>
                <w:rFonts w:ascii="Times New Roman" w:hAnsi="Times New Roman"/>
                <w:sz w:val="15"/>
              </w:rPr>
              <w:t>5</w:t>
            </w:r>
          </w:p>
        </w:tc>
        <w:tc>
          <w:tcPr>
            <w:tcW w:type="dxa" w:w="648"/>
          </w:tcPr>
          <w:p>
            <w:pPr>
              <w:jc w:val="center"/>
            </w:pPr>
            <w:r/>
            <w:r>
              <w:rPr>
                <w:rFonts w:ascii="Times New Roman" w:hAnsi="Times New Roman"/>
                <w:sz w:val="15"/>
              </w:rPr>
              <w:t>37</w:t>
            </w:r>
          </w:p>
        </w:tc>
      </w:tr>
      <w:tr>
        <w:tc>
          <w:tcPr>
            <w:tcW w:type="dxa" w:w="1944"/>
          </w:tcPr>
          <w:p>
            <w:pPr>
              <w:jc w:val="left"/>
            </w:pPr>
            <w:r/>
            <w:r>
              <w:rPr>
                <w:rFonts w:ascii="Times New Roman" w:hAnsi="Times New Roman"/>
                <w:sz w:val="15"/>
              </w:rPr>
              <w:t>Total</w:t>
            </w:r>
          </w:p>
        </w:tc>
        <w:tc>
          <w:tcPr>
            <w:tcW w:type="dxa" w:w="576"/>
          </w:tcPr>
          <w:p>
            <w:pPr>
              <w:jc w:val="center"/>
            </w:pPr>
            <w:r/>
            <w:r>
              <w:rPr>
                <w:rFonts w:ascii="Times New Roman" w:hAnsi="Times New Roman"/>
                <w:sz w:val="15"/>
              </w:rPr>
              <w:t>390</w:t>
            </w:r>
          </w:p>
        </w:tc>
        <w:tc>
          <w:tcPr>
            <w:tcW w:type="dxa" w:w="1656"/>
          </w:tcPr>
          <w:p>
            <w:pPr>
              <w:jc w:val="center"/>
            </w:pPr>
            <w:r/>
            <w:r>
              <w:rPr>
                <w:rFonts w:ascii="Times New Roman" w:hAnsi="Times New Roman"/>
                <w:sz w:val="15"/>
              </w:rPr>
              <w:t>11 domains</w:t>
            </w:r>
          </w:p>
        </w:tc>
        <w:tc>
          <w:tcPr>
            <w:tcW w:type="dxa" w:w="720"/>
          </w:tcPr>
          <w:p>
            <w:pPr>
              <w:jc w:val="center"/>
            </w:pPr>
            <w:r/>
            <w:r>
              <w:rPr>
                <w:rFonts w:ascii="Times New Roman" w:hAnsi="Times New Roman"/>
                <w:sz w:val="15"/>
              </w:rPr>
              <w:t>65</w:t>
            </w:r>
          </w:p>
        </w:tc>
        <w:tc>
          <w:tcPr>
            <w:tcW w:type="dxa" w:w="648"/>
          </w:tcPr>
          <w:p>
            <w:pPr>
              <w:jc w:val="center"/>
            </w:pPr>
            <w:r/>
            <w:r>
              <w:rPr>
                <w:rFonts w:ascii="Times New Roman" w:hAnsi="Times New Roman"/>
                <w:sz w:val="15"/>
              </w:rPr>
              <w:t>267</w:t>
            </w:r>
          </w:p>
        </w:tc>
      </w:tr>
    </w:tbl>
    <w:p>
      <w:pPr>
        <w:spacing w:before="120" w:after="40" w:line="240" w:lineRule="auto"/>
        <w:jc w:val="left"/>
      </w:pPr>
      <w:r>
        <w:rPr>
          <w:rFonts w:ascii="Times New Roman" w:hAnsi="Times New Roman"/>
          <w:i/>
          <w:sz w:val="20"/>
        </w:rPr>
        <w:t>B.  Ground-Truth Labeled Dataset</w:t>
      </w:r>
    </w:p>
    <w:p>
      <w:pPr>
        <w:spacing w:after="0" w:before="0" w:line="240" w:lineRule="auto"/>
        <w:ind w:firstLine="288"/>
        <w:jc w:val="both"/>
      </w:pPr>
      <w:r>
        <w:rPr>
          <w:rFonts w:ascii="Times New Roman" w:hAnsi="Times New Roman"/>
          <w:b w:val="0"/>
          <w:i w:val="0"/>
          <w:sz w:val="20"/>
        </w:rPr>
        <w:t>For classification evaluation a hand-labeled dataset of 150 AST nodes (50 per class) is constructed across eleven domains. Each node records the identifier string, the AST node type (Name, FunctionDef, ClassDef, Constant, arg, Attribute), the ground-truth label, and the domain for stratified analysis.</w:t>
      </w:r>
    </w:p>
    <w:p>
      <w:pPr>
        <w:spacing w:before="120" w:after="40" w:line="240" w:lineRule="auto"/>
        <w:jc w:val="left"/>
      </w:pPr>
      <w:r>
        <w:rPr>
          <w:rFonts w:ascii="Times New Roman" w:hAnsi="Times New Roman"/>
          <w:i/>
          <w:sz w:val="20"/>
        </w:rPr>
        <w:t>C.  Metric Pillars</w:t>
      </w:r>
    </w:p>
    <w:p>
      <w:pPr>
        <w:spacing w:after="0" w:before="0" w:line="240" w:lineRule="auto"/>
        <w:ind w:firstLine="288"/>
        <w:jc w:val="both"/>
      </w:pPr>
      <w:r>
        <w:rPr>
          <w:rFonts w:ascii="Times New Roman" w:hAnsi="Times New Roman"/>
          <w:b w:val="0"/>
          <w:i w:val="0"/>
          <w:sz w:val="20"/>
        </w:rPr>
        <w:t>Pillar 1, Privacy Information Ratio (PIR), is the fraction of sensitive tokens that survive abstraction:</w:t>
      </w:r>
    </w:p>
    <w:p>
      <w:pPr>
        <w:tabs>
          <w:tab w:pos="2664" w:val="center"/>
          <w:tab w:pos="5184" w:val="right"/>
        </w:tabs>
        <w:spacing w:line="240" w:lineRule="auto" w:before="60" w:after="60"/>
      </w:pPr>
      <w:r>
        <w:rPr>
          <w:rFonts w:ascii="Times New Roman" w:hAnsi="Times New Roman"/>
          <w:i/>
          <w:sz w:val="20"/>
        </w:rPr>
        <w:tab/>
        <w:t>PIR = 1 − (N_abstracted / N_sensitive)</w:t>
        <w:tab/>
        <w:t>(1)</w:t>
      </w:r>
    </w:p>
    <w:p>
      <w:pPr>
        <w:spacing w:after="0" w:before="0" w:line="240" w:lineRule="auto"/>
        <w:ind w:firstLine="288"/>
        <w:jc w:val="both"/>
      </w:pPr>
      <w:r>
        <w:rPr>
          <w:rFonts w:ascii="Times New Roman" w:hAnsi="Times New Roman"/>
          <w:b w:val="0"/>
          <w:i w:val="0"/>
          <w:sz w:val="20"/>
        </w:rPr>
        <w:t>where N_sensitive is the count of secret and value tokens in the original and N_abstracted is the count successfully replaced; PIR = 0 denotes perfect privacy. Pillar 2, reconstruction fidelity, reports the token hit rate—the fraction of abstract tokens in a simulated response that are looked up and replaced. Pillar 3, classification accuracy, reports per-class precision, recall, and F1, with the Macro-F1 being the unweighted mean across the three classes. Pillar 4, structural preservation, reports the AST isomorphism score (overlap of structural node-type frequencies), the absolute cyclomatic-complexity delta, and the syntax-validity rate. Pillar 5, performance, reports throughput:</w:t>
      </w:r>
    </w:p>
    <w:p>
      <w:pPr>
        <w:tabs>
          <w:tab w:pos="2664" w:val="center"/>
          <w:tab w:pos="5184" w:val="right"/>
        </w:tabs>
        <w:spacing w:line="240" w:lineRule="auto" w:before="60" w:after="60"/>
      </w:pPr>
      <w:r>
        <w:rPr>
          <w:rFonts w:ascii="Times New Roman" w:hAnsi="Times New Roman"/>
          <w:i/>
          <w:sz w:val="20"/>
        </w:rPr>
        <w:tab/>
        <w:t>Θ = LOC / (t_abstract / 1000)   [LOC/s]</w:t>
        <w:tab/>
        <w:t>(2)</w:t>
      </w:r>
    </w:p>
    <w:p>
      <w:pPr>
        <w:spacing w:before="120" w:after="40" w:line="240" w:lineRule="auto"/>
        <w:jc w:val="left"/>
      </w:pPr>
      <w:r>
        <w:rPr>
          <w:rFonts w:ascii="Times New Roman" w:hAnsi="Times New Roman"/>
          <w:i/>
          <w:sz w:val="20"/>
        </w:rPr>
        <w:t>D.  Experimental Setup</w:t>
      </w:r>
    </w:p>
    <w:p>
      <w:pPr>
        <w:spacing w:after="0" w:before="0" w:line="240" w:lineRule="auto"/>
        <w:ind w:firstLine="288"/>
        <w:jc w:val="both"/>
      </w:pPr>
      <w:r>
        <w:rPr>
          <w:rFonts w:ascii="Times New Roman" w:hAnsi="Times New Roman"/>
          <w:b w:val="0"/>
          <w:i w:val="0"/>
          <w:sz w:val="20"/>
        </w:rPr>
        <w:t>All experiments run on a consumer-grade machine: an Intel Core i5 CPU with no GPU, 8 GB of RAM, Windows 10/11, and Python 3.12. The privacy level is high and every timing measurement is the median of five repetitions taken with a wall-clock performance counter.</w:t>
      </w:r>
    </w:p>
    <w:p>
      <w:pPr>
        <w:spacing w:before="200" w:after="60" w:line="240" w:lineRule="auto"/>
        <w:jc w:val="center"/>
      </w:pPr>
      <w:r>
        <w:rPr>
          <w:rFonts w:ascii="Times New Roman" w:hAnsi="Times New Roman"/>
          <w:smallCaps/>
          <w:sz w:val="20"/>
        </w:rPr>
        <w:t>V.  EVALUATION RESULTS</w:t>
      </w:r>
    </w:p>
    <w:p>
      <w:pPr>
        <w:spacing w:before="120" w:after="40" w:line="240" w:lineRule="auto"/>
        <w:jc w:val="left"/>
      </w:pPr>
      <w:r>
        <w:rPr>
          <w:rFonts w:ascii="Times New Roman" w:hAnsi="Times New Roman"/>
          <w:i/>
          <w:sz w:val="20"/>
        </w:rPr>
        <w:t>A.  Pillar 1: Privacy Information Ratio</w:t>
      </w:r>
    </w:p>
    <w:p>
      <w:pPr>
        <w:spacing w:after="0" w:before="0" w:line="240" w:lineRule="auto"/>
        <w:ind w:firstLine="288"/>
        <w:jc w:val="both"/>
      </w:pPr>
      <w:r>
        <w:rPr>
          <w:rFonts w:ascii="Times New Roman" w:hAnsi="Times New Roman"/>
          <w:b w:val="0"/>
          <w:i w:val="0"/>
          <w:sz w:val="20"/>
        </w:rPr>
        <w:t>Across the ten modules, all 65 secret tokens and 265 of 267 value tokens are abstracted, giving a mean PIR of 0.0024 and a privacy retention score of 99.76 percent. The secret leakage rate is exactly 0.0 percent; the value leakage rate is 0.24 percent (two occurrences), both common numeric constants such as 0 and 1 that coincide with Python syntax elements rather than genuine disclosures.</w:t>
      </w:r>
    </w:p>
    <w:p>
      <w:pPr>
        <w:spacing w:before="120" w:after="40" w:line="240" w:lineRule="auto"/>
        <w:jc w:val="left"/>
      </w:pPr>
      <w:r>
        <w:rPr>
          <w:rFonts w:ascii="Times New Roman" w:hAnsi="Times New Roman"/>
          <w:i/>
          <w:sz w:val="20"/>
        </w:rPr>
        <w:t>B.  Pillar 2: Reconstruction Fidelity</w:t>
      </w:r>
    </w:p>
    <w:p>
      <w:pPr>
        <w:spacing w:after="0" w:before="0" w:line="240" w:lineRule="auto"/>
        <w:ind w:firstLine="288"/>
        <w:jc w:val="both"/>
      </w:pPr>
      <w:r>
        <w:rPr>
          <w:rFonts w:ascii="Times New Roman" w:hAnsi="Times New Roman"/>
          <w:b w:val="0"/>
          <w:i w:val="0"/>
          <w:sz w:val="20"/>
        </w:rPr>
        <w:t>Over 493 abstract tokens generated across the corpus, RECONSTRUCT resolves every token to its correct original name, for a token hit rate of 100.0 percent. This follows from the bijection built by ABSTRACT and the exact string replacement applied by RECONSTRUCT: the deterministic, non-colliding token format guarantees a unique inverse for every token.</w:t>
      </w:r>
    </w:p>
    <w:p>
      <w:pPr>
        <w:spacing w:before="120" w:after="40" w:line="240" w:lineRule="auto"/>
        <w:jc w:val="left"/>
      </w:pPr>
      <w:r>
        <w:rPr>
          <w:rFonts w:ascii="Times New Roman" w:hAnsi="Times New Roman"/>
          <w:i/>
          <w:sz w:val="20"/>
        </w:rPr>
        <w:t>C.  Pillar 3: Classification Accuracy</w:t>
      </w:r>
    </w:p>
    <w:p>
      <w:pPr>
        <w:spacing w:after="0" w:before="0" w:line="240" w:lineRule="auto"/>
        <w:ind w:firstLine="288"/>
        <w:jc w:val="both"/>
      </w:pPr>
      <w:r>
        <w:rPr>
          <w:rFonts w:ascii="Times New Roman" w:hAnsi="Times New Roman"/>
          <w:b w:val="0"/>
          <w:i w:val="0"/>
          <w:sz w:val="20"/>
        </w:rPr>
        <w:t>On the 150-node dataset the classifier attains an overall accuracy of 89.33 percent and a Macro-F1 of 0.8937. Table II gives the confusion matrix and Table III the per-class metrics. SECRET is recognized most reliably (F1 = 0.9697); most residual error is VALUE / IDENTIFIER confusion, where naming conventions overlap.</w:t>
      </w:r>
    </w:p>
    <w:p>
      <w:pPr>
        <w:spacing w:before="160" w:after="40"/>
        <w:jc w:val="center"/>
      </w:pPr>
      <w:r>
        <w:rPr>
          <w:rFonts w:ascii="Times New Roman" w:hAnsi="Times New Roman"/>
          <w:smallCaps/>
          <w:sz w:val="16"/>
        </w:rPr>
        <w:t>Table II.  Confusion Matrix (rows = true, cols = predicted)</w:t>
      </w:r>
    </w:p>
    <w:tbl>
      <w:tblPr>
        <w:tblStyle w:val="TableGrid"/>
        <w:tblW w:type="auto" w:w="0"/>
        <w:jc w:val="center"/>
        <w:tblLook w:firstColumn="1" w:firstRow="1" w:lastColumn="0" w:lastRow="0" w:noHBand="0" w:noVBand="1" w:val="04A0"/>
      </w:tblPr>
      <w:tblGrid>
        <w:gridCol w:w="2527"/>
        <w:gridCol w:w="2527"/>
        <w:gridCol w:w="2527"/>
        <w:gridCol w:w="2527"/>
      </w:tblGrid>
      <w:tr>
        <w:tc>
          <w:tcPr>
            <w:tcW w:type="dxa" w:w="1512"/>
          </w:tcPr>
          <w:p>
            <w:pPr>
              <w:jc w:val="center"/>
            </w:pPr>
            <w:r/>
            <w:r>
              <w:rPr>
                <w:rFonts w:ascii="Times New Roman" w:hAnsi="Times New Roman"/>
                <w:b/>
                <w:sz w:val="15"/>
              </w:rPr>
              <w:t>True \ Pred</w:t>
            </w:r>
          </w:p>
        </w:tc>
        <w:tc>
          <w:tcPr>
            <w:tcW w:type="dxa" w:w="1080"/>
          </w:tcPr>
          <w:p>
            <w:pPr>
              <w:jc w:val="center"/>
            </w:pPr>
            <w:r/>
            <w:r>
              <w:rPr>
                <w:rFonts w:ascii="Times New Roman" w:hAnsi="Times New Roman"/>
                <w:b/>
                <w:sz w:val="15"/>
              </w:rPr>
              <w:t>SECRET</w:t>
            </w:r>
          </w:p>
        </w:tc>
        <w:tc>
          <w:tcPr>
            <w:tcW w:type="dxa" w:w="1008"/>
          </w:tcPr>
          <w:p>
            <w:pPr>
              <w:jc w:val="center"/>
            </w:pPr>
            <w:r/>
            <w:r>
              <w:rPr>
                <w:rFonts w:ascii="Times New Roman" w:hAnsi="Times New Roman"/>
                <w:b/>
                <w:sz w:val="15"/>
              </w:rPr>
              <w:t>VALUE</w:t>
            </w:r>
          </w:p>
        </w:tc>
        <w:tc>
          <w:tcPr>
            <w:tcW w:type="dxa" w:w="1296"/>
          </w:tcPr>
          <w:p>
            <w:pPr>
              <w:jc w:val="center"/>
            </w:pPr>
            <w:r/>
            <w:r>
              <w:rPr>
                <w:rFonts w:ascii="Times New Roman" w:hAnsi="Times New Roman"/>
                <w:b/>
                <w:sz w:val="15"/>
              </w:rPr>
              <w:t>IDENTIFIER</w:t>
            </w:r>
          </w:p>
        </w:tc>
      </w:tr>
      <w:tr>
        <w:tc>
          <w:tcPr>
            <w:tcW w:type="dxa" w:w="1512"/>
          </w:tcPr>
          <w:p>
            <w:pPr>
              <w:jc w:val="left"/>
            </w:pPr>
            <w:r/>
            <w:r>
              <w:rPr>
                <w:rFonts w:ascii="Times New Roman" w:hAnsi="Times New Roman"/>
                <w:sz w:val="15"/>
              </w:rPr>
              <w:t>SECRET</w:t>
            </w:r>
          </w:p>
        </w:tc>
        <w:tc>
          <w:tcPr>
            <w:tcW w:type="dxa" w:w="1080"/>
          </w:tcPr>
          <w:p>
            <w:pPr>
              <w:jc w:val="center"/>
            </w:pPr>
            <w:r/>
            <w:r>
              <w:rPr>
                <w:rFonts w:ascii="Times New Roman" w:hAnsi="Times New Roman"/>
                <w:sz w:val="15"/>
              </w:rPr>
              <w:t>48</w:t>
            </w:r>
          </w:p>
        </w:tc>
        <w:tc>
          <w:tcPr>
            <w:tcW w:type="dxa" w:w="1008"/>
          </w:tcPr>
          <w:p>
            <w:pPr>
              <w:jc w:val="center"/>
            </w:pPr>
            <w:r/>
            <w:r>
              <w:rPr>
                <w:rFonts w:ascii="Times New Roman" w:hAnsi="Times New Roman"/>
                <w:sz w:val="15"/>
              </w:rPr>
              <w:t>1</w:t>
            </w:r>
          </w:p>
        </w:tc>
        <w:tc>
          <w:tcPr>
            <w:tcW w:type="dxa" w:w="1296"/>
          </w:tcPr>
          <w:p>
            <w:pPr>
              <w:jc w:val="center"/>
            </w:pPr>
            <w:r/>
            <w:r>
              <w:rPr>
                <w:rFonts w:ascii="Times New Roman" w:hAnsi="Times New Roman"/>
                <w:sz w:val="15"/>
              </w:rPr>
              <w:t>1</w:t>
            </w:r>
          </w:p>
        </w:tc>
      </w:tr>
      <w:tr>
        <w:tc>
          <w:tcPr>
            <w:tcW w:type="dxa" w:w="1512"/>
          </w:tcPr>
          <w:p>
            <w:pPr>
              <w:jc w:val="left"/>
            </w:pPr>
            <w:r/>
            <w:r>
              <w:rPr>
                <w:rFonts w:ascii="Times New Roman" w:hAnsi="Times New Roman"/>
                <w:sz w:val="15"/>
              </w:rPr>
              <w:t>VALUE</w:t>
            </w:r>
          </w:p>
        </w:tc>
        <w:tc>
          <w:tcPr>
            <w:tcW w:type="dxa" w:w="1080"/>
          </w:tcPr>
          <w:p>
            <w:pPr>
              <w:jc w:val="center"/>
            </w:pPr>
            <w:r/>
            <w:r>
              <w:rPr>
                <w:rFonts w:ascii="Times New Roman" w:hAnsi="Times New Roman"/>
                <w:sz w:val="15"/>
              </w:rPr>
              <w:t>0</w:t>
            </w:r>
          </w:p>
        </w:tc>
        <w:tc>
          <w:tcPr>
            <w:tcW w:type="dxa" w:w="1008"/>
          </w:tcPr>
          <w:p>
            <w:pPr>
              <w:jc w:val="center"/>
            </w:pPr>
            <w:r/>
            <w:r>
              <w:rPr>
                <w:rFonts w:ascii="Times New Roman" w:hAnsi="Times New Roman"/>
                <w:sz w:val="15"/>
              </w:rPr>
              <w:t>44</w:t>
            </w:r>
          </w:p>
        </w:tc>
        <w:tc>
          <w:tcPr>
            <w:tcW w:type="dxa" w:w="1296"/>
          </w:tcPr>
          <w:p>
            <w:pPr>
              <w:jc w:val="center"/>
            </w:pPr>
            <w:r/>
            <w:r>
              <w:rPr>
                <w:rFonts w:ascii="Times New Roman" w:hAnsi="Times New Roman"/>
                <w:sz w:val="15"/>
              </w:rPr>
              <w:t>6</w:t>
            </w:r>
          </w:p>
        </w:tc>
      </w:tr>
      <w:tr>
        <w:tc>
          <w:tcPr>
            <w:tcW w:type="dxa" w:w="1512"/>
          </w:tcPr>
          <w:p>
            <w:pPr>
              <w:jc w:val="left"/>
            </w:pPr>
            <w:r/>
            <w:r>
              <w:rPr>
                <w:rFonts w:ascii="Times New Roman" w:hAnsi="Times New Roman"/>
                <w:sz w:val="15"/>
              </w:rPr>
              <w:t>IDENTIFIER</w:t>
            </w:r>
          </w:p>
        </w:tc>
        <w:tc>
          <w:tcPr>
            <w:tcW w:type="dxa" w:w="1080"/>
          </w:tcPr>
          <w:p>
            <w:pPr>
              <w:jc w:val="center"/>
            </w:pPr>
            <w:r/>
            <w:r>
              <w:rPr>
                <w:rFonts w:ascii="Times New Roman" w:hAnsi="Times New Roman"/>
                <w:sz w:val="15"/>
              </w:rPr>
              <w:t>1</w:t>
            </w:r>
          </w:p>
        </w:tc>
        <w:tc>
          <w:tcPr>
            <w:tcW w:type="dxa" w:w="1008"/>
          </w:tcPr>
          <w:p>
            <w:pPr>
              <w:jc w:val="center"/>
            </w:pPr>
            <w:r/>
            <w:r>
              <w:rPr>
                <w:rFonts w:ascii="Times New Roman" w:hAnsi="Times New Roman"/>
                <w:sz w:val="15"/>
              </w:rPr>
              <w:t>7</w:t>
            </w:r>
          </w:p>
        </w:tc>
        <w:tc>
          <w:tcPr>
            <w:tcW w:type="dxa" w:w="1296"/>
          </w:tcPr>
          <w:p>
            <w:pPr>
              <w:jc w:val="center"/>
            </w:pPr>
            <w:r/>
            <w:r>
              <w:rPr>
                <w:rFonts w:ascii="Times New Roman" w:hAnsi="Times New Roman"/>
                <w:sz w:val="15"/>
              </w:rPr>
              <w:t>42</w:t>
            </w:r>
          </w:p>
        </w:tc>
      </w:tr>
    </w:tbl>
    <w:p>
      <w:pPr>
        <w:spacing w:before="160" w:after="40"/>
        <w:jc w:val="center"/>
      </w:pPr>
      <w:r>
        <w:rPr>
          <w:rFonts w:ascii="Times New Roman" w:hAnsi="Times New Roman"/>
          <w:smallCaps/>
          <w:sz w:val="16"/>
        </w:rPr>
        <w:t>Table III.  Per-Class Classification Metrics</w:t>
      </w:r>
    </w:p>
    <w:tbl>
      <w:tblPr>
        <w:tblStyle w:val="TableGrid"/>
        <w:tblW w:type="auto" w:w="0"/>
        <w:jc w:val="center"/>
        <w:tblLook w:firstColumn="1" w:firstRow="1" w:lastColumn="0" w:lastRow="0" w:noHBand="0" w:noVBand="1" w:val="04A0"/>
      </w:tblPr>
      <w:tblGrid>
        <w:gridCol w:w="2022"/>
        <w:gridCol w:w="2022"/>
        <w:gridCol w:w="2022"/>
        <w:gridCol w:w="2022"/>
        <w:gridCol w:w="2022"/>
      </w:tblGrid>
      <w:tr>
        <w:tc>
          <w:tcPr>
            <w:tcW w:type="dxa" w:w="1584"/>
          </w:tcPr>
          <w:p>
            <w:pPr>
              <w:jc w:val="center"/>
            </w:pPr>
            <w:r/>
            <w:r>
              <w:rPr>
                <w:rFonts w:ascii="Times New Roman" w:hAnsi="Times New Roman"/>
                <w:b/>
                <w:sz w:val="15"/>
              </w:rPr>
              <w:t>Class</w:t>
            </w:r>
          </w:p>
        </w:tc>
        <w:tc>
          <w:tcPr>
            <w:tcW w:type="dxa" w:w="936"/>
          </w:tcPr>
          <w:p>
            <w:pPr>
              <w:jc w:val="center"/>
            </w:pPr>
            <w:r/>
            <w:r>
              <w:rPr>
                <w:rFonts w:ascii="Times New Roman" w:hAnsi="Times New Roman"/>
                <w:b/>
                <w:sz w:val="15"/>
              </w:rPr>
              <w:t>Prec.</w:t>
            </w:r>
          </w:p>
        </w:tc>
        <w:tc>
          <w:tcPr>
            <w:tcW w:type="dxa" w:w="936"/>
          </w:tcPr>
          <w:p>
            <w:pPr>
              <w:jc w:val="center"/>
            </w:pPr>
            <w:r/>
            <w:r>
              <w:rPr>
                <w:rFonts w:ascii="Times New Roman" w:hAnsi="Times New Roman"/>
                <w:b/>
                <w:sz w:val="15"/>
              </w:rPr>
              <w:t>Recall</w:t>
            </w:r>
          </w:p>
        </w:tc>
        <w:tc>
          <w:tcPr>
            <w:tcW w:type="dxa" w:w="864"/>
          </w:tcPr>
          <w:p>
            <w:pPr>
              <w:jc w:val="center"/>
            </w:pPr>
            <w:r/>
            <w:r>
              <w:rPr>
                <w:rFonts w:ascii="Times New Roman" w:hAnsi="Times New Roman"/>
                <w:b/>
                <w:sz w:val="15"/>
              </w:rPr>
              <w:t>F1</w:t>
            </w:r>
          </w:p>
        </w:tc>
        <w:tc>
          <w:tcPr>
            <w:tcW w:type="dxa" w:w="864"/>
          </w:tcPr>
          <w:p>
            <w:pPr>
              <w:jc w:val="center"/>
            </w:pPr>
            <w:r/>
            <w:r>
              <w:rPr>
                <w:rFonts w:ascii="Times New Roman" w:hAnsi="Times New Roman"/>
                <w:b/>
                <w:sz w:val="15"/>
              </w:rPr>
              <w:t>Support</w:t>
            </w:r>
          </w:p>
        </w:tc>
      </w:tr>
      <w:tr>
        <w:tc>
          <w:tcPr>
            <w:tcW w:type="dxa" w:w="1584"/>
          </w:tcPr>
          <w:p>
            <w:pPr>
              <w:jc w:val="left"/>
            </w:pPr>
            <w:r/>
            <w:r>
              <w:rPr>
                <w:rFonts w:ascii="Times New Roman" w:hAnsi="Times New Roman"/>
                <w:sz w:val="15"/>
              </w:rPr>
              <w:t>SECRET</w:t>
            </w:r>
          </w:p>
        </w:tc>
        <w:tc>
          <w:tcPr>
            <w:tcW w:type="dxa" w:w="936"/>
          </w:tcPr>
          <w:p>
            <w:pPr>
              <w:jc w:val="center"/>
            </w:pPr>
            <w:r/>
            <w:r>
              <w:rPr>
                <w:rFonts w:ascii="Times New Roman" w:hAnsi="Times New Roman"/>
                <w:sz w:val="15"/>
              </w:rPr>
              <w:t>0.9796</w:t>
            </w:r>
          </w:p>
        </w:tc>
        <w:tc>
          <w:tcPr>
            <w:tcW w:type="dxa" w:w="936"/>
          </w:tcPr>
          <w:p>
            <w:pPr>
              <w:jc w:val="center"/>
            </w:pPr>
            <w:r/>
            <w:r>
              <w:rPr>
                <w:rFonts w:ascii="Times New Roman" w:hAnsi="Times New Roman"/>
                <w:sz w:val="15"/>
              </w:rPr>
              <w:t>0.96</w:t>
            </w:r>
          </w:p>
        </w:tc>
        <w:tc>
          <w:tcPr>
            <w:tcW w:type="dxa" w:w="864"/>
          </w:tcPr>
          <w:p>
            <w:pPr>
              <w:jc w:val="center"/>
            </w:pPr>
            <w:r/>
            <w:r>
              <w:rPr>
                <w:rFonts w:ascii="Times New Roman" w:hAnsi="Times New Roman"/>
                <w:sz w:val="15"/>
              </w:rPr>
              <w:t>0.9697</w:t>
            </w:r>
          </w:p>
        </w:tc>
        <w:tc>
          <w:tcPr>
            <w:tcW w:type="dxa" w:w="864"/>
          </w:tcPr>
          <w:p>
            <w:pPr>
              <w:jc w:val="center"/>
            </w:pPr>
            <w:r/>
            <w:r>
              <w:rPr>
                <w:rFonts w:ascii="Times New Roman" w:hAnsi="Times New Roman"/>
                <w:sz w:val="15"/>
              </w:rPr>
              <w:t>50</w:t>
            </w:r>
          </w:p>
        </w:tc>
      </w:tr>
      <w:tr>
        <w:tc>
          <w:tcPr>
            <w:tcW w:type="dxa" w:w="1584"/>
          </w:tcPr>
          <w:p>
            <w:pPr>
              <w:jc w:val="left"/>
            </w:pPr>
            <w:r/>
            <w:r>
              <w:rPr>
                <w:rFonts w:ascii="Times New Roman" w:hAnsi="Times New Roman"/>
                <w:sz w:val="15"/>
              </w:rPr>
              <w:t>VALUE</w:t>
            </w:r>
          </w:p>
        </w:tc>
        <w:tc>
          <w:tcPr>
            <w:tcW w:type="dxa" w:w="936"/>
          </w:tcPr>
          <w:p>
            <w:pPr>
              <w:jc w:val="center"/>
            </w:pPr>
            <w:r/>
            <w:r>
              <w:rPr>
                <w:rFonts w:ascii="Times New Roman" w:hAnsi="Times New Roman"/>
                <w:sz w:val="15"/>
              </w:rPr>
              <w:t>0.8462</w:t>
            </w:r>
          </w:p>
        </w:tc>
        <w:tc>
          <w:tcPr>
            <w:tcW w:type="dxa" w:w="936"/>
          </w:tcPr>
          <w:p>
            <w:pPr>
              <w:jc w:val="center"/>
            </w:pPr>
            <w:r/>
            <w:r>
              <w:rPr>
                <w:rFonts w:ascii="Times New Roman" w:hAnsi="Times New Roman"/>
                <w:sz w:val="15"/>
              </w:rPr>
              <w:t>0.88</w:t>
            </w:r>
          </w:p>
        </w:tc>
        <w:tc>
          <w:tcPr>
            <w:tcW w:type="dxa" w:w="864"/>
          </w:tcPr>
          <w:p>
            <w:pPr>
              <w:jc w:val="center"/>
            </w:pPr>
            <w:r/>
            <w:r>
              <w:rPr>
                <w:rFonts w:ascii="Times New Roman" w:hAnsi="Times New Roman"/>
                <w:sz w:val="15"/>
              </w:rPr>
              <w:t>0.8628</w:t>
            </w:r>
          </w:p>
        </w:tc>
        <w:tc>
          <w:tcPr>
            <w:tcW w:type="dxa" w:w="864"/>
          </w:tcPr>
          <w:p>
            <w:pPr>
              <w:jc w:val="center"/>
            </w:pPr>
            <w:r/>
            <w:r>
              <w:rPr>
                <w:rFonts w:ascii="Times New Roman" w:hAnsi="Times New Roman"/>
                <w:sz w:val="15"/>
              </w:rPr>
              <w:t>50</w:t>
            </w:r>
          </w:p>
        </w:tc>
      </w:tr>
      <w:tr>
        <w:tc>
          <w:tcPr>
            <w:tcW w:type="dxa" w:w="1584"/>
          </w:tcPr>
          <w:p>
            <w:pPr>
              <w:jc w:val="left"/>
            </w:pPr>
            <w:r/>
            <w:r>
              <w:rPr>
                <w:rFonts w:ascii="Times New Roman" w:hAnsi="Times New Roman"/>
                <w:sz w:val="15"/>
              </w:rPr>
              <w:t>IDENTIFIER</w:t>
            </w:r>
          </w:p>
        </w:tc>
        <w:tc>
          <w:tcPr>
            <w:tcW w:type="dxa" w:w="936"/>
          </w:tcPr>
          <w:p>
            <w:pPr>
              <w:jc w:val="center"/>
            </w:pPr>
            <w:r/>
            <w:r>
              <w:rPr>
                <w:rFonts w:ascii="Times New Roman" w:hAnsi="Times New Roman"/>
                <w:sz w:val="15"/>
              </w:rPr>
              <w:t>0.8571</w:t>
            </w:r>
          </w:p>
        </w:tc>
        <w:tc>
          <w:tcPr>
            <w:tcW w:type="dxa" w:w="936"/>
          </w:tcPr>
          <w:p>
            <w:pPr>
              <w:jc w:val="center"/>
            </w:pPr>
            <w:r/>
            <w:r>
              <w:rPr>
                <w:rFonts w:ascii="Times New Roman" w:hAnsi="Times New Roman"/>
                <w:sz w:val="15"/>
              </w:rPr>
              <w:t>0.84</w:t>
            </w:r>
          </w:p>
        </w:tc>
        <w:tc>
          <w:tcPr>
            <w:tcW w:type="dxa" w:w="864"/>
          </w:tcPr>
          <w:p>
            <w:pPr>
              <w:jc w:val="center"/>
            </w:pPr>
            <w:r/>
            <w:r>
              <w:rPr>
                <w:rFonts w:ascii="Times New Roman" w:hAnsi="Times New Roman"/>
                <w:sz w:val="15"/>
              </w:rPr>
              <w:t>0.8485</w:t>
            </w:r>
          </w:p>
        </w:tc>
        <w:tc>
          <w:tcPr>
            <w:tcW w:type="dxa" w:w="864"/>
          </w:tcPr>
          <w:p>
            <w:pPr>
              <w:jc w:val="center"/>
            </w:pPr>
            <w:r/>
            <w:r>
              <w:rPr>
                <w:rFonts w:ascii="Times New Roman" w:hAnsi="Times New Roman"/>
                <w:sz w:val="15"/>
              </w:rPr>
              <w:t>50</w:t>
            </w:r>
          </w:p>
        </w:tc>
      </w:tr>
      <w:tr>
        <w:tc>
          <w:tcPr>
            <w:tcW w:type="dxa" w:w="1584"/>
          </w:tcPr>
          <w:p>
            <w:pPr>
              <w:jc w:val="left"/>
            </w:pPr>
            <w:r/>
            <w:r>
              <w:rPr>
                <w:rFonts w:ascii="Times New Roman" w:hAnsi="Times New Roman"/>
                <w:sz w:val="15"/>
              </w:rPr>
              <w:t>Macro</w:t>
            </w:r>
          </w:p>
        </w:tc>
        <w:tc>
          <w:tcPr>
            <w:tcW w:type="dxa" w:w="936"/>
          </w:tcPr>
          <w:p>
            <w:pPr>
              <w:jc w:val="center"/>
            </w:pPr>
            <w:r/>
            <w:r>
              <w:rPr>
                <w:rFonts w:ascii="Times New Roman" w:hAnsi="Times New Roman"/>
                <w:sz w:val="15"/>
              </w:rPr>
              <w:t>0.8943</w:t>
            </w:r>
          </w:p>
        </w:tc>
        <w:tc>
          <w:tcPr>
            <w:tcW w:type="dxa" w:w="936"/>
          </w:tcPr>
          <w:p>
            <w:pPr>
              <w:jc w:val="center"/>
            </w:pPr>
            <w:r/>
            <w:r>
              <w:rPr>
                <w:rFonts w:ascii="Times New Roman" w:hAnsi="Times New Roman"/>
                <w:sz w:val="15"/>
              </w:rPr>
              <w:t>0.8933</w:t>
            </w:r>
          </w:p>
        </w:tc>
        <w:tc>
          <w:tcPr>
            <w:tcW w:type="dxa" w:w="864"/>
          </w:tcPr>
          <w:p>
            <w:pPr>
              <w:jc w:val="center"/>
            </w:pPr>
            <w:r/>
            <w:r>
              <w:rPr>
                <w:rFonts w:ascii="Times New Roman" w:hAnsi="Times New Roman"/>
                <w:sz w:val="15"/>
              </w:rPr>
              <w:t>0.8937</w:t>
            </w:r>
          </w:p>
        </w:tc>
        <w:tc>
          <w:tcPr>
            <w:tcW w:type="dxa" w:w="864"/>
          </w:tcPr>
          <w:p>
            <w:pPr>
              <w:jc w:val="center"/>
            </w:pPr>
            <w:r/>
            <w:r>
              <w:rPr>
                <w:rFonts w:ascii="Times New Roman" w:hAnsi="Times New Roman"/>
                <w:sz w:val="15"/>
              </w:rPr>
              <w:t>150</w:t>
            </w:r>
          </w:p>
        </w:tc>
      </w:tr>
    </w:tbl>
    <w:p>
      <w:pPr>
        <w:spacing w:after="0" w:before="0" w:line="240" w:lineRule="auto"/>
        <w:ind w:firstLine="288"/>
        <w:jc w:val="both"/>
      </w:pPr>
      <w:r>
        <w:rPr>
          <w:rFonts w:ascii="Times New Roman" w:hAnsi="Times New Roman"/>
          <w:b w:val="0"/>
          <w:i w:val="0"/>
          <w:sz w:val="20"/>
        </w:rPr>
        <w:t>Domain-stratified accuracy is 100 percent for api_client, ml, microservice, crypto, analytics, and utility, and lower for finance (78.57 percent), web (80.00 percent), and e-commerce (82.86 percent), which are value-heavy domains.</w:t>
      </w:r>
    </w:p>
    <w:p>
      <w:pPr>
        <w:spacing w:before="120" w:after="40" w:line="240" w:lineRule="auto"/>
        <w:jc w:val="left"/>
      </w:pPr>
      <w:r>
        <w:rPr>
          <w:rFonts w:ascii="Times New Roman" w:hAnsi="Times New Roman"/>
          <w:i/>
          <w:sz w:val="20"/>
        </w:rPr>
        <w:t>D.  Pillar 4: Code Structure Preservation</w:t>
      </w:r>
    </w:p>
    <w:p>
      <w:pPr>
        <w:spacing w:after="0" w:before="0" w:line="240" w:lineRule="auto"/>
        <w:ind w:firstLine="288"/>
        <w:jc w:val="both"/>
      </w:pPr>
      <w:r>
        <w:rPr>
          <w:rFonts w:ascii="Times New Roman" w:hAnsi="Times New Roman"/>
          <w:b w:val="0"/>
          <w:i w:val="0"/>
          <w:sz w:val="20"/>
        </w:rPr>
        <w:t>Every abstracted module parses as valid Python (100 percent syntax-validity rate), the AST isomorphism score is 1.0000 for all ten modules, and the cyclomatic-complexity delta is 0 in every case. ABSTRACT operates only on leaf-level identifier and constant nodes; it never inserts, removes, or reorders structural nodes, so the frequencies of control-flow and expression node types are invariant, which forces the isomorphism score to 1 and the complexity delta to 0. Mean abstraction density (token-count ratio) is about 110 percent, reflecting typed placeholder names that are slightly longer than the originals.</w:t>
      </w:r>
    </w:p>
    <w:p>
      <w:pPr>
        <w:spacing w:before="120" w:after="40" w:line="240" w:lineRule="auto"/>
        <w:jc w:val="left"/>
      </w:pPr>
      <w:r>
        <w:rPr>
          <w:rFonts w:ascii="Times New Roman" w:hAnsi="Times New Roman"/>
          <w:i/>
          <w:sz w:val="20"/>
        </w:rPr>
        <w:t>E.  Pillar 5: Performance and Scalability</w:t>
      </w:r>
    </w:p>
    <w:p>
      <w:pPr>
        <w:spacing w:after="0" w:before="0" w:line="240" w:lineRule="auto"/>
        <w:ind w:firstLine="288"/>
        <w:jc w:val="both"/>
      </w:pPr>
      <w:r>
        <w:rPr>
          <w:rFonts w:ascii="Times New Roman" w:hAnsi="Times New Roman"/>
          <w:b w:val="0"/>
          <w:i w:val="0"/>
          <w:sz w:val="20"/>
        </w:rPr>
        <w:t>Mean abstraction latency is 4.08 ms per module, reconstruction 0.40 ms, and encrypted round-trip 0.80 ms, for a mean throughput of 9,872 lines per second. On a scaling sweep from 39 to 312 lines, throughput stays between 9,400 and 11,400 lines per second, confirming O(n) behavior with respect to code size; slight super-linear throughput at larger sizes reflects amortization of AST-parser startup. Table IV consolidates the five pillars.</w:t>
      </w:r>
    </w:p>
    <w:p>
      <w:pPr>
        <w:spacing w:before="160" w:after="40"/>
        <w:jc w:val="center"/>
      </w:pPr>
      <w:r>
        <w:rPr>
          <w:rFonts w:ascii="Times New Roman" w:hAnsi="Times New Roman"/>
          <w:smallCaps/>
          <w:sz w:val="16"/>
        </w:rPr>
        <w:t>Table IV.  Consolidated Five-Pillar Results</w:t>
      </w:r>
    </w:p>
    <w:tbl>
      <w:tblPr>
        <w:tblStyle w:val="TableGrid"/>
        <w:tblW w:type="auto" w:w="0"/>
        <w:jc w:val="center"/>
        <w:tblLook w:firstColumn="1" w:firstRow="1" w:lastColumn="0" w:lastRow="0" w:noHBand="0" w:noVBand="1" w:val="04A0"/>
      </w:tblPr>
      <w:tblGrid>
        <w:gridCol w:w="3370"/>
        <w:gridCol w:w="3370"/>
        <w:gridCol w:w="3370"/>
      </w:tblGrid>
      <w:tr>
        <w:tc>
          <w:tcPr>
            <w:tcW w:type="dxa" w:w="1368"/>
          </w:tcPr>
          <w:p>
            <w:pPr>
              <w:jc w:val="center"/>
            </w:pPr>
            <w:r/>
            <w:r>
              <w:rPr>
                <w:rFonts w:ascii="Times New Roman" w:hAnsi="Times New Roman"/>
                <w:b/>
                <w:sz w:val="15"/>
              </w:rPr>
              <w:t>Pillar</w:t>
            </w:r>
          </w:p>
        </w:tc>
        <w:tc>
          <w:tcPr>
            <w:tcW w:type="dxa" w:w="2520"/>
          </w:tcPr>
          <w:p>
            <w:pPr>
              <w:jc w:val="center"/>
            </w:pPr>
            <w:r/>
            <w:r>
              <w:rPr>
                <w:rFonts w:ascii="Times New Roman" w:hAnsi="Times New Roman"/>
                <w:b/>
                <w:sz w:val="15"/>
              </w:rPr>
              <w:t>Metric</w:t>
            </w:r>
          </w:p>
        </w:tc>
        <w:tc>
          <w:tcPr>
            <w:tcW w:type="dxa" w:w="1872"/>
          </w:tcPr>
          <w:p>
            <w:pPr>
              <w:jc w:val="center"/>
            </w:pPr>
            <w:r/>
            <w:r>
              <w:rPr>
                <w:rFonts w:ascii="Times New Roman" w:hAnsi="Times New Roman"/>
                <w:b/>
                <w:sz w:val="15"/>
              </w:rPr>
              <w:t>Result</w:t>
            </w:r>
          </w:p>
        </w:tc>
      </w:tr>
      <w:tr>
        <w:tc>
          <w:tcPr>
            <w:tcW w:type="dxa" w:w="1368"/>
          </w:tcPr>
          <w:p>
            <w:pPr>
              <w:jc w:val="left"/>
            </w:pPr>
            <w:r/>
            <w:r>
              <w:rPr>
                <w:rFonts w:ascii="Times New Roman" w:hAnsi="Times New Roman"/>
                <w:sz w:val="15"/>
              </w:rPr>
              <w:t>Privacy</w:t>
            </w:r>
          </w:p>
        </w:tc>
        <w:tc>
          <w:tcPr>
            <w:tcW w:type="dxa" w:w="2520"/>
          </w:tcPr>
          <w:p>
            <w:pPr>
              <w:jc w:val="center"/>
            </w:pPr>
            <w:r/>
            <w:r>
              <w:rPr>
                <w:rFonts w:ascii="Times New Roman" w:hAnsi="Times New Roman"/>
                <w:sz w:val="15"/>
              </w:rPr>
              <w:t>Mean PIR / secret leakage</w:t>
            </w:r>
          </w:p>
        </w:tc>
        <w:tc>
          <w:tcPr>
            <w:tcW w:type="dxa" w:w="1872"/>
          </w:tcPr>
          <w:p>
            <w:pPr>
              <w:jc w:val="center"/>
            </w:pPr>
            <w:r/>
            <w:r>
              <w:rPr>
                <w:rFonts w:ascii="Times New Roman" w:hAnsi="Times New Roman"/>
                <w:sz w:val="15"/>
              </w:rPr>
              <w:t>0.0024 / 0.0%</w:t>
            </w:r>
          </w:p>
        </w:tc>
      </w:tr>
      <w:tr>
        <w:tc>
          <w:tcPr>
            <w:tcW w:type="dxa" w:w="1368"/>
          </w:tcPr>
          <w:p>
            <w:pPr>
              <w:jc w:val="left"/>
            </w:pPr>
            <w:r/>
            <w:r>
              <w:rPr>
                <w:rFonts w:ascii="Times New Roman" w:hAnsi="Times New Roman"/>
                <w:sz w:val="15"/>
              </w:rPr>
              <w:t>Reconstruction</w:t>
            </w:r>
          </w:p>
        </w:tc>
        <w:tc>
          <w:tcPr>
            <w:tcW w:type="dxa" w:w="2520"/>
          </w:tcPr>
          <w:p>
            <w:pPr>
              <w:jc w:val="center"/>
            </w:pPr>
            <w:r/>
            <w:r>
              <w:rPr>
                <w:rFonts w:ascii="Times New Roman" w:hAnsi="Times New Roman"/>
                <w:sz w:val="15"/>
              </w:rPr>
              <w:t>Token hit rate (493 tokens)</w:t>
            </w:r>
          </w:p>
        </w:tc>
        <w:tc>
          <w:tcPr>
            <w:tcW w:type="dxa" w:w="1872"/>
          </w:tcPr>
          <w:p>
            <w:pPr>
              <w:jc w:val="center"/>
            </w:pPr>
            <w:r/>
            <w:r>
              <w:rPr>
                <w:rFonts w:ascii="Times New Roman" w:hAnsi="Times New Roman"/>
                <w:sz w:val="15"/>
              </w:rPr>
              <w:t>100.0%</w:t>
            </w:r>
          </w:p>
        </w:tc>
      </w:tr>
      <w:tr>
        <w:tc>
          <w:tcPr>
            <w:tcW w:type="dxa" w:w="1368"/>
          </w:tcPr>
          <w:p>
            <w:pPr>
              <w:jc w:val="left"/>
            </w:pPr>
            <w:r/>
            <w:r>
              <w:rPr>
                <w:rFonts w:ascii="Times New Roman" w:hAnsi="Times New Roman"/>
                <w:sz w:val="15"/>
              </w:rPr>
              <w:t>Classification</w:t>
            </w:r>
          </w:p>
        </w:tc>
        <w:tc>
          <w:tcPr>
            <w:tcW w:type="dxa" w:w="2520"/>
          </w:tcPr>
          <w:p>
            <w:pPr>
              <w:jc w:val="center"/>
            </w:pPr>
            <w:r/>
            <w:r>
              <w:rPr>
                <w:rFonts w:ascii="Times New Roman" w:hAnsi="Times New Roman"/>
                <w:sz w:val="15"/>
              </w:rPr>
              <w:t>Macro-F1 / accuracy</w:t>
            </w:r>
          </w:p>
        </w:tc>
        <w:tc>
          <w:tcPr>
            <w:tcW w:type="dxa" w:w="1872"/>
          </w:tcPr>
          <w:p>
            <w:pPr>
              <w:jc w:val="center"/>
            </w:pPr>
            <w:r/>
            <w:r>
              <w:rPr>
                <w:rFonts w:ascii="Times New Roman" w:hAnsi="Times New Roman"/>
                <w:sz w:val="15"/>
              </w:rPr>
              <w:t>0.8937 / 89.33%</w:t>
            </w:r>
          </w:p>
        </w:tc>
      </w:tr>
      <w:tr>
        <w:tc>
          <w:tcPr>
            <w:tcW w:type="dxa" w:w="1368"/>
          </w:tcPr>
          <w:p>
            <w:pPr>
              <w:jc w:val="left"/>
            </w:pPr>
            <w:r/>
            <w:r>
              <w:rPr>
                <w:rFonts w:ascii="Times New Roman" w:hAnsi="Times New Roman"/>
                <w:sz w:val="15"/>
              </w:rPr>
              <w:t>Structure</w:t>
            </w:r>
          </w:p>
        </w:tc>
        <w:tc>
          <w:tcPr>
            <w:tcW w:type="dxa" w:w="2520"/>
          </w:tcPr>
          <w:p>
            <w:pPr>
              <w:jc w:val="center"/>
            </w:pPr>
            <w:r/>
            <w:r>
              <w:rPr>
                <w:rFonts w:ascii="Times New Roman" w:hAnsi="Times New Roman"/>
                <w:sz w:val="15"/>
              </w:rPr>
              <w:t>AST isomorphism / ΔCC / syntax valid</w:t>
            </w:r>
          </w:p>
        </w:tc>
        <w:tc>
          <w:tcPr>
            <w:tcW w:type="dxa" w:w="1872"/>
          </w:tcPr>
          <w:p>
            <w:pPr>
              <w:jc w:val="center"/>
            </w:pPr>
            <w:r/>
            <w:r>
              <w:rPr>
                <w:rFonts w:ascii="Times New Roman" w:hAnsi="Times New Roman"/>
                <w:sz w:val="15"/>
              </w:rPr>
              <w:t>1.0000 / 0 / 100%</w:t>
            </w:r>
          </w:p>
        </w:tc>
      </w:tr>
      <w:tr>
        <w:tc>
          <w:tcPr>
            <w:tcW w:type="dxa" w:w="1368"/>
          </w:tcPr>
          <w:p>
            <w:pPr>
              <w:jc w:val="left"/>
            </w:pPr>
            <w:r/>
            <w:r>
              <w:rPr>
                <w:rFonts w:ascii="Times New Roman" w:hAnsi="Times New Roman"/>
                <w:sz w:val="15"/>
              </w:rPr>
              <w:t>Performance</w:t>
            </w:r>
          </w:p>
        </w:tc>
        <w:tc>
          <w:tcPr>
            <w:tcW w:type="dxa" w:w="2520"/>
          </w:tcPr>
          <w:p>
            <w:pPr>
              <w:jc w:val="center"/>
            </w:pPr>
            <w:r/>
            <w:r>
              <w:rPr>
                <w:rFonts w:ascii="Times New Roman" w:hAnsi="Times New Roman"/>
                <w:sz w:val="15"/>
              </w:rPr>
              <w:t>Throughput / abstraction latency</w:t>
            </w:r>
          </w:p>
        </w:tc>
        <w:tc>
          <w:tcPr>
            <w:tcW w:type="dxa" w:w="1872"/>
          </w:tcPr>
          <w:p>
            <w:pPr>
              <w:jc w:val="center"/>
            </w:pPr>
            <w:r/>
            <w:r>
              <w:rPr>
                <w:rFonts w:ascii="Times New Roman" w:hAnsi="Times New Roman"/>
                <w:sz w:val="15"/>
              </w:rPr>
              <w:t>9,872 LOC/s / 4.08 ms</w:t>
            </w:r>
          </w:p>
        </w:tc>
      </w:tr>
    </w:tbl>
    <w:p>
      <w:pPr>
        <w:spacing w:before="200" w:after="60" w:line="240" w:lineRule="auto"/>
        <w:jc w:val="center"/>
      </w:pPr>
      <w:r>
        <w:rPr>
          <w:rFonts w:ascii="Times New Roman" w:hAnsi="Times New Roman"/>
          <w:smallCaps/>
          <w:sz w:val="20"/>
        </w:rPr>
        <w:t>VI.  COMPARATIVE ANALYSIS</w:t>
      </w:r>
    </w:p>
    <w:p>
      <w:pPr>
        <w:spacing w:after="0" w:before="0" w:line="240" w:lineRule="auto"/>
        <w:ind w:firstLine="288"/>
        <w:jc w:val="both"/>
      </w:pPr>
      <w:r>
        <w:rPr>
          <w:rFonts w:ascii="Times New Roman" w:hAnsi="Times New Roman"/>
          <w:b w:val="0"/>
          <w:i w:val="0"/>
          <w:sz w:val="20"/>
        </w:rPr>
        <w:t>Table V compares CodeAbstract with the four frameworks of Section II across privacy, utility, structure, and deployment cost. CodeAbstract is the only framework that combines an automated, reproducible privacy metric with 0.0 percent secret leakage, 100 percent deterministic reconstruction, a proven AST isomorphism of 1.0, and GPU-free real-time operation. MaskSQL leaves 38.64 percent of sensitive tokens exposed and CodeCipher exhibits a 34 percent deobfuscation rate with syntactically invalid output; ECCC attains strong privacy but requires a 16 GB GPU and manual scoring; the obfuscation approach of De Tomasi et al. provides no reconstruction and mutates control-flow structure. De Tomasi et al. observe that LLM obfuscation paradoxically simplifies code (negative complexity change); CodeAbstract instead achieves exact structural invariance, showing that privacy protection and structural preservation are not fundamentally in conflict.</w:t>
      </w:r>
    </w:p>
    <w:p>
      <w:pPr>
        <w:spacing w:before="160" w:after="40"/>
        <w:jc w:val="center"/>
      </w:pPr>
      <w:r>
        <w:rPr>
          <w:rFonts w:ascii="Times New Roman" w:hAnsi="Times New Roman"/>
          <w:smallCaps/>
          <w:sz w:val="16"/>
        </w:rPr>
        <w:t>Table V.  Comparison With State-of-the-Art Frameworks</w:t>
      </w:r>
    </w:p>
    <w:tbl>
      <w:tblPr>
        <w:tblStyle w:val="TableGrid"/>
        <w:tblW w:type="auto" w:w="0"/>
        <w:jc w:val="center"/>
        <w:tblLook w:firstColumn="1" w:firstRow="1" w:lastColumn="0" w:lastRow="0" w:noHBand="0" w:noVBand="1" w:val="04A0"/>
      </w:tblPr>
      <w:tblGrid>
        <w:gridCol w:w="1685"/>
        <w:gridCol w:w="1685"/>
        <w:gridCol w:w="1685"/>
        <w:gridCol w:w="1685"/>
        <w:gridCol w:w="1685"/>
        <w:gridCol w:w="1685"/>
      </w:tblGrid>
      <w:tr>
        <w:tc>
          <w:tcPr>
            <w:tcW w:type="dxa" w:w="1325"/>
          </w:tcPr>
          <w:p>
            <w:pPr>
              <w:jc w:val="center"/>
            </w:pPr>
            <w:r/>
            <w:r>
              <w:rPr>
                <w:rFonts w:ascii="Times New Roman" w:hAnsi="Times New Roman"/>
                <w:b/>
                <w:sz w:val="14"/>
              </w:rPr>
              <w:t>Metric</w:t>
            </w:r>
          </w:p>
        </w:tc>
        <w:tc>
          <w:tcPr>
            <w:tcW w:type="dxa" w:w="1008"/>
          </w:tcPr>
          <w:p>
            <w:pPr>
              <w:jc w:val="center"/>
            </w:pPr>
            <w:r/>
            <w:r>
              <w:rPr>
                <w:rFonts w:ascii="Times New Roman" w:hAnsi="Times New Roman"/>
                <w:b/>
                <w:sz w:val="14"/>
              </w:rPr>
              <w:t>ECCC</w:t>
            </w:r>
          </w:p>
        </w:tc>
        <w:tc>
          <w:tcPr>
            <w:tcW w:type="dxa" w:w="1037"/>
          </w:tcPr>
          <w:p>
            <w:pPr>
              <w:jc w:val="center"/>
            </w:pPr>
            <w:r/>
            <w:r>
              <w:rPr>
                <w:rFonts w:ascii="Times New Roman" w:hAnsi="Times New Roman"/>
                <w:b/>
                <w:sz w:val="14"/>
              </w:rPr>
              <w:t>De Tomasi</w:t>
            </w:r>
          </w:p>
        </w:tc>
        <w:tc>
          <w:tcPr>
            <w:tcW w:type="dxa" w:w="1123"/>
          </w:tcPr>
          <w:p>
            <w:pPr>
              <w:jc w:val="center"/>
            </w:pPr>
            <w:r/>
            <w:r>
              <w:rPr>
                <w:rFonts w:ascii="Times New Roman" w:hAnsi="Times New Roman"/>
                <w:b/>
                <w:sz w:val="14"/>
              </w:rPr>
              <w:t>CodeCipher</w:t>
            </w:r>
          </w:p>
        </w:tc>
        <w:tc>
          <w:tcPr>
            <w:tcW w:type="dxa" w:w="1181"/>
          </w:tcPr>
          <w:p>
            <w:pPr>
              <w:jc w:val="center"/>
            </w:pPr>
            <w:r/>
            <w:r>
              <w:rPr>
                <w:rFonts w:ascii="Times New Roman" w:hAnsi="Times New Roman"/>
                <w:b/>
                <w:sz w:val="14"/>
              </w:rPr>
              <w:t>MaskSQL</w:t>
            </w:r>
          </w:p>
        </w:tc>
        <w:tc>
          <w:tcPr>
            <w:tcW w:type="dxa" w:w="1526"/>
          </w:tcPr>
          <w:p>
            <w:pPr>
              <w:jc w:val="center"/>
            </w:pPr>
            <w:r/>
            <w:r>
              <w:rPr>
                <w:rFonts w:ascii="Times New Roman" w:hAnsi="Times New Roman"/>
                <w:b/>
                <w:sz w:val="14"/>
              </w:rPr>
              <w:t>CodeAbstract</w:t>
            </w:r>
          </w:p>
        </w:tc>
      </w:tr>
      <w:tr>
        <w:tc>
          <w:tcPr>
            <w:tcW w:type="dxa" w:w="1325"/>
          </w:tcPr>
          <w:p>
            <w:pPr>
              <w:jc w:val="left"/>
            </w:pPr>
            <w:r/>
            <w:r>
              <w:rPr>
                <w:rFonts w:ascii="Times New Roman" w:hAnsi="Times New Roman"/>
                <w:sz w:val="14"/>
              </w:rPr>
              <w:t>Privacy leakage</w:t>
            </w:r>
          </w:p>
        </w:tc>
        <w:tc>
          <w:tcPr>
            <w:tcW w:type="dxa" w:w="1008"/>
          </w:tcPr>
          <w:p>
            <w:pPr>
              <w:jc w:val="center"/>
            </w:pPr>
            <w:r/>
            <w:r>
              <w:rPr>
                <w:rFonts w:ascii="Times New Roman" w:hAnsi="Times New Roman"/>
                <w:sz w:val="14"/>
              </w:rPr>
              <w:t>0% (manual)</w:t>
            </w:r>
          </w:p>
        </w:tc>
        <w:tc>
          <w:tcPr>
            <w:tcW w:type="dxa" w:w="1037"/>
          </w:tcPr>
          <w:p>
            <w:pPr>
              <w:jc w:val="center"/>
            </w:pPr>
            <w:r/>
            <w:r>
              <w:rPr>
                <w:rFonts w:ascii="Times New Roman" w:hAnsi="Times New Roman"/>
                <w:sz w:val="14"/>
              </w:rPr>
              <w:t>not meas.</w:t>
            </w:r>
          </w:p>
        </w:tc>
        <w:tc>
          <w:tcPr>
            <w:tcW w:type="dxa" w:w="1123"/>
          </w:tcPr>
          <w:p>
            <w:pPr>
              <w:jc w:val="center"/>
            </w:pPr>
            <w:r/>
            <w:r>
              <w:rPr>
                <w:rFonts w:ascii="Times New Roman" w:hAnsi="Times New Roman"/>
                <w:sz w:val="14"/>
              </w:rPr>
              <w:t>34% recov.</w:t>
            </w:r>
          </w:p>
        </w:tc>
        <w:tc>
          <w:tcPr>
            <w:tcW w:type="dxa" w:w="1181"/>
          </w:tcPr>
          <w:p>
            <w:pPr>
              <w:jc w:val="center"/>
            </w:pPr>
            <w:r/>
            <w:r>
              <w:rPr>
                <w:rFonts w:ascii="Times New Roman" w:hAnsi="Times New Roman"/>
                <w:sz w:val="14"/>
              </w:rPr>
              <w:t>38.64% exp.</w:t>
            </w:r>
          </w:p>
        </w:tc>
        <w:tc>
          <w:tcPr>
            <w:tcW w:type="dxa" w:w="1526"/>
          </w:tcPr>
          <w:p>
            <w:pPr>
              <w:jc w:val="center"/>
            </w:pPr>
            <w:r/>
            <w:r>
              <w:rPr>
                <w:rFonts w:ascii="Times New Roman" w:hAnsi="Times New Roman"/>
                <w:sz w:val="14"/>
              </w:rPr>
              <w:t>0.24% (PIR 0.0024)</w:t>
            </w:r>
          </w:p>
        </w:tc>
      </w:tr>
      <w:tr>
        <w:tc>
          <w:tcPr>
            <w:tcW w:type="dxa" w:w="1325"/>
          </w:tcPr>
          <w:p>
            <w:pPr>
              <w:jc w:val="left"/>
            </w:pPr>
            <w:r/>
            <w:r>
              <w:rPr>
                <w:rFonts w:ascii="Times New Roman" w:hAnsi="Times New Roman"/>
                <w:sz w:val="14"/>
              </w:rPr>
              <w:t>Secret protection</w:t>
            </w:r>
          </w:p>
        </w:tc>
        <w:tc>
          <w:tcPr>
            <w:tcW w:type="dxa" w:w="1008"/>
          </w:tcPr>
          <w:p>
            <w:pPr>
              <w:jc w:val="center"/>
            </w:pPr>
            <w:r/>
            <w:r>
              <w:rPr>
                <w:rFonts w:ascii="Times New Roman" w:hAnsi="Times New Roman"/>
                <w:sz w:val="14"/>
              </w:rPr>
              <w:t>manual</w:t>
            </w:r>
          </w:p>
        </w:tc>
        <w:tc>
          <w:tcPr>
            <w:tcW w:type="dxa" w:w="1037"/>
          </w:tcPr>
          <w:p>
            <w:pPr>
              <w:jc w:val="center"/>
            </w:pPr>
            <w:r/>
            <w:r>
              <w:rPr>
                <w:rFonts w:ascii="Times New Roman" w:hAnsi="Times New Roman"/>
                <w:sz w:val="14"/>
              </w:rPr>
              <w:t>partial</w:t>
            </w:r>
          </w:p>
        </w:tc>
        <w:tc>
          <w:tcPr>
            <w:tcW w:type="dxa" w:w="1123"/>
          </w:tcPr>
          <w:p>
            <w:pPr>
              <w:jc w:val="center"/>
            </w:pPr>
            <w:r/>
            <w:r>
              <w:rPr>
                <w:rFonts w:ascii="Times New Roman" w:hAnsi="Times New Roman"/>
                <w:sz w:val="14"/>
              </w:rPr>
              <w:t>partial</w:t>
            </w:r>
          </w:p>
        </w:tc>
        <w:tc>
          <w:tcPr>
            <w:tcW w:type="dxa" w:w="1181"/>
          </w:tcPr>
          <w:p>
            <w:pPr>
              <w:jc w:val="center"/>
            </w:pPr>
            <w:r/>
            <w:r>
              <w:rPr>
                <w:rFonts w:ascii="Times New Roman" w:hAnsi="Times New Roman"/>
                <w:sz w:val="14"/>
              </w:rPr>
              <w:t>61.36%</w:t>
            </w:r>
          </w:p>
        </w:tc>
        <w:tc>
          <w:tcPr>
            <w:tcW w:type="dxa" w:w="1526"/>
          </w:tcPr>
          <w:p>
            <w:pPr>
              <w:jc w:val="center"/>
            </w:pPr>
            <w:r/>
            <w:r>
              <w:rPr>
                <w:rFonts w:ascii="Times New Roman" w:hAnsi="Times New Roman"/>
                <w:sz w:val="14"/>
              </w:rPr>
              <w:t>100% (0.0% leak)</w:t>
            </w:r>
          </w:p>
        </w:tc>
      </w:tr>
      <w:tr>
        <w:tc>
          <w:tcPr>
            <w:tcW w:type="dxa" w:w="1325"/>
          </w:tcPr>
          <w:p>
            <w:pPr>
              <w:jc w:val="left"/>
            </w:pPr>
            <w:r/>
            <w:r>
              <w:rPr>
                <w:rFonts w:ascii="Times New Roman" w:hAnsi="Times New Roman"/>
                <w:sz w:val="14"/>
              </w:rPr>
              <w:t>Reconstruction</w:t>
            </w:r>
          </w:p>
        </w:tc>
        <w:tc>
          <w:tcPr>
            <w:tcW w:type="dxa" w:w="1008"/>
          </w:tcPr>
          <w:p>
            <w:pPr>
              <w:jc w:val="center"/>
            </w:pPr>
            <w:r/>
            <w:r>
              <w:rPr>
                <w:rFonts w:ascii="Times New Roman" w:hAnsi="Times New Roman"/>
                <w:sz w:val="14"/>
              </w:rPr>
              <w:t>det. lookup</w:t>
            </w:r>
          </w:p>
        </w:tc>
        <w:tc>
          <w:tcPr>
            <w:tcW w:type="dxa" w:w="1037"/>
          </w:tcPr>
          <w:p>
            <w:pPr>
              <w:jc w:val="center"/>
            </w:pPr>
            <w:r/>
            <w:r>
              <w:rPr>
                <w:rFonts w:ascii="Times New Roman" w:hAnsi="Times New Roman"/>
                <w:sz w:val="14"/>
              </w:rPr>
              <w:t>none</w:t>
            </w:r>
          </w:p>
        </w:tc>
        <w:tc>
          <w:tcPr>
            <w:tcW w:type="dxa" w:w="1123"/>
          </w:tcPr>
          <w:p>
            <w:pPr>
              <w:jc w:val="center"/>
            </w:pPr>
            <w:r/>
            <w:r>
              <w:rPr>
                <w:rFonts w:ascii="Times New Roman" w:hAnsi="Times New Roman"/>
                <w:sz w:val="14"/>
              </w:rPr>
              <w:t>lossy</w:t>
            </w:r>
          </w:p>
        </w:tc>
        <w:tc>
          <w:tcPr>
            <w:tcW w:type="dxa" w:w="1181"/>
          </w:tcPr>
          <w:p>
            <w:pPr>
              <w:jc w:val="center"/>
            </w:pPr>
            <w:r/>
            <w:r>
              <w:rPr>
                <w:rFonts w:ascii="Times New Roman" w:hAnsi="Times New Roman"/>
                <w:sz w:val="14"/>
              </w:rPr>
              <w:t>SLM-corrected</w:t>
            </w:r>
          </w:p>
        </w:tc>
        <w:tc>
          <w:tcPr>
            <w:tcW w:type="dxa" w:w="1526"/>
          </w:tcPr>
          <w:p>
            <w:pPr>
              <w:jc w:val="center"/>
            </w:pPr>
            <w:r/>
            <w:r>
              <w:rPr>
                <w:rFonts w:ascii="Times New Roman" w:hAnsi="Times New Roman"/>
                <w:sz w:val="14"/>
              </w:rPr>
              <w:t>100% det.</w:t>
            </w:r>
          </w:p>
        </w:tc>
      </w:tr>
      <w:tr>
        <w:tc>
          <w:tcPr>
            <w:tcW w:type="dxa" w:w="1325"/>
          </w:tcPr>
          <w:p>
            <w:pPr>
              <w:jc w:val="left"/>
            </w:pPr>
            <w:r/>
            <w:r>
              <w:rPr>
                <w:rFonts w:ascii="Times New Roman" w:hAnsi="Times New Roman"/>
                <w:sz w:val="14"/>
              </w:rPr>
              <w:t>Syntax validity</w:t>
            </w:r>
          </w:p>
        </w:tc>
        <w:tc>
          <w:tcPr>
            <w:tcW w:type="dxa" w:w="1008"/>
          </w:tcPr>
          <w:p>
            <w:pPr>
              <w:jc w:val="center"/>
            </w:pPr>
            <w:r/>
            <w:r>
              <w:rPr>
                <w:rFonts w:ascii="Times New Roman" w:hAnsi="Times New Roman"/>
                <w:sz w:val="14"/>
              </w:rPr>
              <w:t>partial</w:t>
            </w:r>
          </w:p>
        </w:tc>
        <w:tc>
          <w:tcPr>
            <w:tcW w:type="dxa" w:w="1037"/>
          </w:tcPr>
          <w:p>
            <w:pPr>
              <w:jc w:val="center"/>
            </w:pPr>
            <w:r/>
            <w:r>
              <w:rPr>
                <w:rFonts w:ascii="Times New Roman" w:hAnsi="Times New Roman"/>
                <w:sz w:val="14"/>
              </w:rPr>
              <w:t>28-81%</w:t>
            </w:r>
          </w:p>
        </w:tc>
        <w:tc>
          <w:tcPr>
            <w:tcW w:type="dxa" w:w="1123"/>
          </w:tcPr>
          <w:p>
            <w:pPr>
              <w:jc w:val="center"/>
            </w:pPr>
            <w:r/>
            <w:r>
              <w:rPr>
                <w:rFonts w:ascii="Times New Roman" w:hAnsi="Times New Roman"/>
                <w:sz w:val="14"/>
              </w:rPr>
              <w:t>0%</w:t>
            </w:r>
          </w:p>
        </w:tc>
        <w:tc>
          <w:tcPr>
            <w:tcW w:type="dxa" w:w="1181"/>
          </w:tcPr>
          <w:p>
            <w:pPr>
              <w:jc w:val="center"/>
            </w:pPr>
            <w:r/>
            <w:r>
              <w:rPr>
                <w:rFonts w:ascii="Times New Roman" w:hAnsi="Times New Roman"/>
                <w:sz w:val="14"/>
              </w:rPr>
              <w:t>high</w:t>
            </w:r>
          </w:p>
        </w:tc>
        <w:tc>
          <w:tcPr>
            <w:tcW w:type="dxa" w:w="1526"/>
          </w:tcPr>
          <w:p>
            <w:pPr>
              <w:jc w:val="center"/>
            </w:pPr>
            <w:r/>
            <w:r>
              <w:rPr>
                <w:rFonts w:ascii="Times New Roman" w:hAnsi="Times New Roman"/>
                <w:sz w:val="14"/>
              </w:rPr>
              <w:t>100%</w:t>
            </w:r>
          </w:p>
        </w:tc>
      </w:tr>
      <w:tr>
        <w:tc>
          <w:tcPr>
            <w:tcW w:type="dxa" w:w="1325"/>
          </w:tcPr>
          <w:p>
            <w:pPr>
              <w:jc w:val="left"/>
            </w:pPr>
            <w:r/>
            <w:r>
              <w:rPr>
                <w:rFonts w:ascii="Times New Roman" w:hAnsi="Times New Roman"/>
                <w:sz w:val="14"/>
              </w:rPr>
              <w:t>AST isomorphism</w:t>
            </w:r>
          </w:p>
        </w:tc>
        <w:tc>
          <w:tcPr>
            <w:tcW w:type="dxa" w:w="1008"/>
          </w:tcPr>
          <w:p>
            <w:pPr>
              <w:jc w:val="center"/>
            </w:pPr>
            <w:r/>
            <w:r>
              <w:rPr>
                <w:rFonts w:ascii="Times New Roman" w:hAnsi="Times New Roman"/>
                <w:sz w:val="14"/>
              </w:rPr>
              <w:t>not meas.</w:t>
            </w:r>
          </w:p>
        </w:tc>
        <w:tc>
          <w:tcPr>
            <w:tcW w:type="dxa" w:w="1037"/>
          </w:tcPr>
          <w:p>
            <w:pPr>
              <w:jc w:val="center"/>
            </w:pPr>
            <w:r/>
            <w:r>
              <w:rPr>
                <w:rFonts w:ascii="Times New Roman" w:hAnsi="Times New Roman"/>
                <w:sz w:val="14"/>
              </w:rPr>
              <w:t>not pres.</w:t>
            </w:r>
          </w:p>
        </w:tc>
        <w:tc>
          <w:tcPr>
            <w:tcW w:type="dxa" w:w="1123"/>
          </w:tcPr>
          <w:p>
            <w:pPr>
              <w:jc w:val="center"/>
            </w:pPr>
            <w:r/>
            <w:r>
              <w:rPr>
                <w:rFonts w:ascii="Times New Roman" w:hAnsi="Times New Roman"/>
                <w:sz w:val="14"/>
              </w:rPr>
              <w:t>destroyed</w:t>
            </w:r>
          </w:p>
        </w:tc>
        <w:tc>
          <w:tcPr>
            <w:tcW w:type="dxa" w:w="1181"/>
          </w:tcPr>
          <w:p>
            <w:pPr>
              <w:jc w:val="center"/>
            </w:pPr>
            <w:r/>
            <w:r>
              <w:rPr>
                <w:rFonts w:ascii="Times New Roman" w:hAnsi="Times New Roman"/>
                <w:sz w:val="14"/>
              </w:rPr>
              <w:t>n/a</w:t>
            </w:r>
          </w:p>
        </w:tc>
        <w:tc>
          <w:tcPr>
            <w:tcW w:type="dxa" w:w="1526"/>
          </w:tcPr>
          <w:p>
            <w:pPr>
              <w:jc w:val="center"/>
            </w:pPr>
            <w:r/>
            <w:r>
              <w:rPr>
                <w:rFonts w:ascii="Times New Roman" w:hAnsi="Times New Roman"/>
                <w:sz w:val="14"/>
              </w:rPr>
              <w:t>1.0000</w:t>
            </w:r>
          </w:p>
        </w:tc>
      </w:tr>
      <w:tr>
        <w:tc>
          <w:tcPr>
            <w:tcW w:type="dxa" w:w="1325"/>
          </w:tcPr>
          <w:p>
            <w:pPr>
              <w:jc w:val="left"/>
            </w:pPr>
            <w:r/>
            <w:r>
              <w:rPr>
                <w:rFonts w:ascii="Times New Roman" w:hAnsi="Times New Roman"/>
                <w:sz w:val="14"/>
              </w:rPr>
              <w:t>Δ Cyclomatic</w:t>
            </w:r>
          </w:p>
        </w:tc>
        <w:tc>
          <w:tcPr>
            <w:tcW w:type="dxa" w:w="1008"/>
          </w:tcPr>
          <w:p>
            <w:pPr>
              <w:jc w:val="center"/>
            </w:pPr>
            <w:r/>
            <w:r>
              <w:rPr>
                <w:rFonts w:ascii="Times New Roman" w:hAnsi="Times New Roman"/>
                <w:sz w:val="14"/>
              </w:rPr>
              <w:t>not meas.</w:t>
            </w:r>
          </w:p>
        </w:tc>
        <w:tc>
          <w:tcPr>
            <w:tcW w:type="dxa" w:w="1037"/>
          </w:tcPr>
          <w:p>
            <w:pPr>
              <w:jc w:val="center"/>
            </w:pPr>
            <w:r/>
            <w:r>
              <w:rPr>
                <w:rFonts w:ascii="Times New Roman" w:hAnsi="Times New Roman"/>
                <w:sz w:val="14"/>
              </w:rPr>
              <w:t>-1.27</w:t>
            </w:r>
          </w:p>
        </w:tc>
        <w:tc>
          <w:tcPr>
            <w:tcW w:type="dxa" w:w="1123"/>
          </w:tcPr>
          <w:p>
            <w:pPr>
              <w:jc w:val="center"/>
            </w:pPr>
            <w:r/>
            <w:r>
              <w:rPr>
                <w:rFonts w:ascii="Times New Roman" w:hAnsi="Times New Roman"/>
                <w:sz w:val="14"/>
              </w:rPr>
              <w:t>n/a</w:t>
            </w:r>
          </w:p>
        </w:tc>
        <w:tc>
          <w:tcPr>
            <w:tcW w:type="dxa" w:w="1181"/>
          </w:tcPr>
          <w:p>
            <w:pPr>
              <w:jc w:val="center"/>
            </w:pPr>
            <w:r/>
            <w:r>
              <w:rPr>
                <w:rFonts w:ascii="Times New Roman" w:hAnsi="Times New Roman"/>
                <w:sz w:val="14"/>
              </w:rPr>
              <w:t>n/a</w:t>
            </w:r>
          </w:p>
        </w:tc>
        <w:tc>
          <w:tcPr>
            <w:tcW w:type="dxa" w:w="1526"/>
          </w:tcPr>
          <w:p>
            <w:pPr>
              <w:jc w:val="center"/>
            </w:pPr>
            <w:r/>
            <w:r>
              <w:rPr>
                <w:rFonts w:ascii="Times New Roman" w:hAnsi="Times New Roman"/>
                <w:sz w:val="14"/>
              </w:rPr>
              <w:t>0.00</w:t>
            </w:r>
          </w:p>
        </w:tc>
      </w:tr>
      <w:tr>
        <w:tc>
          <w:tcPr>
            <w:tcW w:type="dxa" w:w="1325"/>
          </w:tcPr>
          <w:p>
            <w:pPr>
              <w:jc w:val="left"/>
            </w:pPr>
            <w:r/>
            <w:r>
              <w:rPr>
                <w:rFonts w:ascii="Times New Roman" w:hAnsi="Times New Roman"/>
                <w:sz w:val="14"/>
              </w:rPr>
              <w:t>GPU required</w:t>
            </w:r>
          </w:p>
        </w:tc>
        <w:tc>
          <w:tcPr>
            <w:tcW w:type="dxa" w:w="1008"/>
          </w:tcPr>
          <w:p>
            <w:pPr>
              <w:jc w:val="center"/>
            </w:pPr>
            <w:r/>
            <w:r>
              <w:rPr>
                <w:rFonts w:ascii="Times New Roman" w:hAnsi="Times New Roman"/>
                <w:sz w:val="14"/>
              </w:rPr>
              <w:t>yes (16 GB)</w:t>
            </w:r>
          </w:p>
        </w:tc>
        <w:tc>
          <w:tcPr>
            <w:tcW w:type="dxa" w:w="1037"/>
          </w:tcPr>
          <w:p>
            <w:pPr>
              <w:jc w:val="center"/>
            </w:pPr>
            <w:r/>
            <w:r>
              <w:rPr>
                <w:rFonts w:ascii="Times New Roman" w:hAnsi="Times New Roman"/>
                <w:sz w:val="14"/>
              </w:rPr>
              <w:t>no</w:t>
            </w:r>
          </w:p>
        </w:tc>
        <w:tc>
          <w:tcPr>
            <w:tcW w:type="dxa" w:w="1123"/>
          </w:tcPr>
          <w:p>
            <w:pPr>
              <w:jc w:val="center"/>
            </w:pPr>
            <w:r/>
            <w:r>
              <w:rPr>
                <w:rFonts w:ascii="Times New Roman" w:hAnsi="Times New Roman"/>
                <w:sz w:val="14"/>
              </w:rPr>
              <w:t>yes</w:t>
            </w:r>
          </w:p>
        </w:tc>
        <w:tc>
          <w:tcPr>
            <w:tcW w:type="dxa" w:w="1181"/>
          </w:tcPr>
          <w:p>
            <w:pPr>
              <w:jc w:val="center"/>
            </w:pPr>
            <w:r/>
            <w:r>
              <w:rPr>
                <w:rFonts w:ascii="Times New Roman" w:hAnsi="Times New Roman"/>
                <w:sz w:val="14"/>
              </w:rPr>
              <w:t>yes (7B)</w:t>
            </w:r>
          </w:p>
        </w:tc>
        <w:tc>
          <w:tcPr>
            <w:tcW w:type="dxa" w:w="1526"/>
          </w:tcPr>
          <w:p>
            <w:pPr>
              <w:jc w:val="center"/>
            </w:pPr>
            <w:r/>
            <w:r>
              <w:rPr>
                <w:rFonts w:ascii="Times New Roman" w:hAnsi="Times New Roman"/>
                <w:sz w:val="14"/>
              </w:rPr>
              <w:t>no</w:t>
            </w:r>
          </w:p>
        </w:tc>
      </w:tr>
      <w:tr>
        <w:tc>
          <w:tcPr>
            <w:tcW w:type="dxa" w:w="1325"/>
          </w:tcPr>
          <w:p>
            <w:pPr>
              <w:jc w:val="left"/>
            </w:pPr>
            <w:r/>
            <w:r>
              <w:rPr>
                <w:rFonts w:ascii="Times New Roman" w:hAnsi="Times New Roman"/>
                <w:sz w:val="14"/>
              </w:rPr>
              <w:t>Latency</w:t>
            </w:r>
          </w:p>
        </w:tc>
        <w:tc>
          <w:tcPr>
            <w:tcW w:type="dxa" w:w="1008"/>
          </w:tcPr>
          <w:p>
            <w:pPr>
              <w:jc w:val="center"/>
            </w:pPr>
            <w:r/>
            <w:r>
              <w:rPr>
                <w:rFonts w:ascii="Times New Roman" w:hAnsi="Times New Roman"/>
                <w:sz w:val="14"/>
              </w:rPr>
              <w:t>high</w:t>
            </w:r>
          </w:p>
        </w:tc>
        <w:tc>
          <w:tcPr>
            <w:tcW w:type="dxa" w:w="1037"/>
          </w:tcPr>
          <w:p>
            <w:pPr>
              <w:jc w:val="center"/>
            </w:pPr>
            <w:r/>
            <w:r>
              <w:rPr>
                <w:rFonts w:ascii="Times New Roman" w:hAnsi="Times New Roman"/>
                <w:sz w:val="14"/>
              </w:rPr>
              <w:t>API-dep.</w:t>
            </w:r>
          </w:p>
        </w:tc>
        <w:tc>
          <w:tcPr>
            <w:tcW w:type="dxa" w:w="1123"/>
          </w:tcPr>
          <w:p>
            <w:pPr>
              <w:jc w:val="center"/>
            </w:pPr>
            <w:r/>
            <w:r>
              <w:rPr>
                <w:rFonts w:ascii="Times New Roman" w:hAnsi="Times New Roman"/>
                <w:sz w:val="14"/>
              </w:rPr>
              <w:t>high</w:t>
            </w:r>
          </w:p>
        </w:tc>
        <w:tc>
          <w:tcPr>
            <w:tcW w:type="dxa" w:w="1181"/>
          </w:tcPr>
          <w:p>
            <w:pPr>
              <w:jc w:val="center"/>
            </w:pPr>
            <w:r/>
            <w:r>
              <w:rPr>
                <w:rFonts w:ascii="Times New Roman" w:hAnsi="Times New Roman"/>
                <w:sz w:val="14"/>
              </w:rPr>
              <w:t>150-300 ms</w:t>
            </w:r>
          </w:p>
        </w:tc>
        <w:tc>
          <w:tcPr>
            <w:tcW w:type="dxa" w:w="1526"/>
          </w:tcPr>
          <w:p>
            <w:pPr>
              <w:jc w:val="center"/>
            </w:pPr>
            <w:r/>
            <w:r>
              <w:rPr>
                <w:rFonts w:ascii="Times New Roman" w:hAnsi="Times New Roman"/>
                <w:sz w:val="14"/>
              </w:rPr>
              <w:t>4.08 ms</w:t>
            </w:r>
          </w:p>
        </w:tc>
      </w:tr>
      <w:tr>
        <w:tc>
          <w:tcPr>
            <w:tcW w:type="dxa" w:w="1325"/>
          </w:tcPr>
          <w:p>
            <w:pPr>
              <w:jc w:val="left"/>
            </w:pPr>
            <w:r/>
            <w:r>
              <w:rPr>
                <w:rFonts w:ascii="Times New Roman" w:hAnsi="Times New Roman"/>
                <w:sz w:val="14"/>
              </w:rPr>
              <w:t>Throughput</w:t>
            </w:r>
          </w:p>
        </w:tc>
        <w:tc>
          <w:tcPr>
            <w:tcW w:type="dxa" w:w="1008"/>
          </w:tcPr>
          <w:p>
            <w:pPr>
              <w:jc w:val="center"/>
            </w:pPr>
            <w:r/>
            <w:r>
              <w:rPr>
                <w:rFonts w:ascii="Times New Roman" w:hAnsi="Times New Roman"/>
                <w:sz w:val="14"/>
              </w:rPr>
              <w:t>limited</w:t>
            </w:r>
          </w:p>
        </w:tc>
        <w:tc>
          <w:tcPr>
            <w:tcW w:type="dxa" w:w="1037"/>
          </w:tcPr>
          <w:p>
            <w:pPr>
              <w:jc w:val="center"/>
            </w:pPr>
            <w:r/>
            <w:r>
              <w:rPr>
                <w:rFonts w:ascii="Times New Roman" w:hAnsi="Times New Roman"/>
                <w:sz w:val="14"/>
              </w:rPr>
              <w:t>n/a</w:t>
            </w:r>
          </w:p>
        </w:tc>
        <w:tc>
          <w:tcPr>
            <w:tcW w:type="dxa" w:w="1123"/>
          </w:tcPr>
          <w:p>
            <w:pPr>
              <w:jc w:val="center"/>
            </w:pPr>
            <w:r/>
            <w:r>
              <w:rPr>
                <w:rFonts w:ascii="Times New Roman" w:hAnsi="Times New Roman"/>
                <w:sz w:val="14"/>
              </w:rPr>
              <w:t>offline</w:t>
            </w:r>
          </w:p>
        </w:tc>
        <w:tc>
          <w:tcPr>
            <w:tcW w:type="dxa" w:w="1181"/>
          </w:tcPr>
          <w:p>
            <w:pPr>
              <w:jc w:val="center"/>
            </w:pPr>
            <w:r/>
            <w:r>
              <w:rPr>
                <w:rFonts w:ascii="Times New Roman" w:hAnsi="Times New Roman"/>
                <w:sz w:val="14"/>
              </w:rPr>
              <w:t>~5 qps</w:t>
            </w:r>
          </w:p>
        </w:tc>
        <w:tc>
          <w:tcPr>
            <w:tcW w:type="dxa" w:w="1526"/>
          </w:tcPr>
          <w:p>
            <w:pPr>
              <w:jc w:val="center"/>
            </w:pPr>
            <w:r/>
            <w:r>
              <w:rPr>
                <w:rFonts w:ascii="Times New Roman" w:hAnsi="Times New Roman"/>
                <w:sz w:val="14"/>
              </w:rPr>
              <w:t>9,872 LOC/s</w:t>
            </w:r>
          </w:p>
        </w:tc>
      </w:tr>
    </w:tbl>
    <w:p>
      <w:pPr>
        <w:spacing w:before="200" w:after="60" w:line="240" w:lineRule="auto"/>
        <w:jc w:val="center"/>
      </w:pPr>
      <w:r>
        <w:rPr>
          <w:rFonts w:ascii="Times New Roman" w:hAnsi="Times New Roman"/>
          <w:smallCaps/>
          <w:sz w:val="20"/>
        </w:rPr>
        <w:t>VII.  DISCUSSION</w:t>
      </w:r>
    </w:p>
    <w:p>
      <w:pPr>
        <w:spacing w:before="120" w:after="40" w:line="240" w:lineRule="auto"/>
        <w:jc w:val="left"/>
      </w:pPr>
      <w:r>
        <w:rPr>
          <w:rFonts w:ascii="Times New Roman" w:hAnsi="Times New Roman"/>
          <w:i/>
          <w:sz w:val="20"/>
        </w:rPr>
        <w:t>A.  Strengths</w:t>
      </w:r>
    </w:p>
    <w:p>
      <w:pPr>
        <w:spacing w:after="0" w:before="0" w:line="240" w:lineRule="auto"/>
        <w:ind w:firstLine="288"/>
        <w:jc w:val="both"/>
      </w:pPr>
      <w:r>
        <w:rPr>
          <w:rFonts w:ascii="Times New Roman" w:hAnsi="Times New Roman"/>
          <w:b w:val="0"/>
          <w:i w:val="0"/>
          <w:sz w:val="20"/>
        </w:rPr>
        <w:t>Zero secret leakage: regex-based classification (97.96 percent precision on secrets) combined with AST-level replacement ensures credentials are never transmitted. Deterministic reconstruction: unlike MaskSQL, which needs a 7B model for correction, and CodeCipher, which uses embedding nearest-neighbor lookup, the bijective mapping guarantees exact, lossless recovery of every token. Complete structural invariance: the proofs that isomorphism equals 1 and complexity delta equals 0 distinguish CodeAbstract from every compared framework. Consumer-grade deployment: 9,872 lines per second on a CPU with no GPU makes real-time IDE integration practical.</w:t>
      </w:r>
    </w:p>
    <w:p>
      <w:pPr>
        <w:spacing w:before="120" w:after="40" w:line="240" w:lineRule="auto"/>
        <w:jc w:val="left"/>
      </w:pPr>
      <w:r>
        <w:rPr>
          <w:rFonts w:ascii="Times New Roman" w:hAnsi="Times New Roman"/>
          <w:i/>
          <w:sz w:val="20"/>
        </w:rPr>
        <w:t>B.  Limitations</w:t>
      </w:r>
    </w:p>
    <w:p>
      <w:pPr>
        <w:spacing w:after="0" w:before="0" w:line="240" w:lineRule="auto"/>
        <w:ind w:firstLine="288"/>
        <w:jc w:val="both"/>
      </w:pPr>
      <w:r>
        <w:rPr>
          <w:rFonts w:ascii="Times New Roman" w:hAnsi="Times New Roman"/>
          <w:b w:val="0"/>
          <w:i w:val="0"/>
          <w:sz w:val="20"/>
        </w:rPr>
        <w:t>The AST parser is currently Python-specific; extension to JavaScript and other languages requires language adapters, of which a JavaScript adapter is partially implemented under core/languages/. The Macro-F1 of 0.8937 leaves room for improvement, mainly in VALUE / IDENTIFIER disambiguation. The 390-line corpus, though domain-diverse, is smaller than industrial benchmarks, and the scaling curve does not yet cover codebases beyond a few hundred lines. Finally, abstract tokens may reduce LLM performance on tasks that depend on the semantics of variable names, such as naming-quality suggestions.</w:t>
      </w:r>
    </w:p>
    <w:p>
      <w:pPr>
        <w:spacing w:before="120" w:after="40" w:line="240" w:lineRule="auto"/>
        <w:jc w:val="left"/>
      </w:pPr>
      <w:r>
        <w:rPr>
          <w:rFonts w:ascii="Times New Roman" w:hAnsi="Times New Roman"/>
          <w:i/>
          <w:sz w:val="20"/>
        </w:rPr>
        <w:t>C.  Threats to Validity</w:t>
      </w:r>
    </w:p>
    <w:p>
      <w:pPr>
        <w:spacing w:after="0" w:before="0" w:line="240" w:lineRule="auto"/>
        <w:ind w:firstLine="288"/>
        <w:jc w:val="both"/>
      </w:pPr>
      <w:r>
        <w:rPr>
          <w:rFonts w:ascii="Times New Roman" w:hAnsi="Times New Roman"/>
          <w:b w:val="0"/>
          <w:i w:val="0"/>
          <w:sz w:val="20"/>
        </w:rPr>
        <w:t>Internal: the corpus consists of synthetic benchmark modules that may not capture every production sensitivity pattern. External: the classification patterns are tuned for common Python conventions, so organizations with non-standard naming may need pattern customization. Construct: PIR weights all sensitive tokens equally, whereas leaking an API key is far more damaging than leaking a numeric constant; a risk-weighted PIR is left to future work.</w:t>
      </w:r>
    </w:p>
    <w:p>
      <w:pPr>
        <w:spacing w:before="200" w:after="60" w:line="240" w:lineRule="auto"/>
        <w:jc w:val="center"/>
      </w:pPr>
      <w:r>
        <w:rPr>
          <w:rFonts w:ascii="Times New Roman" w:hAnsi="Times New Roman"/>
          <w:smallCaps/>
          <w:sz w:val="20"/>
        </w:rPr>
        <w:t>VIII.  CONCLUSION AND FUTURE WORK</w:t>
      </w:r>
    </w:p>
    <w:p>
      <w:pPr>
        <w:spacing w:after="0" w:before="0" w:line="240" w:lineRule="auto"/>
        <w:ind w:firstLine="288"/>
        <w:jc w:val="both"/>
      </w:pPr>
      <w:r>
        <w:rPr>
          <w:rFonts w:ascii="Times New Roman" w:hAnsi="Times New Roman"/>
          <w:b w:val="0"/>
          <w:i w:val="0"/>
          <w:sz w:val="20"/>
        </w:rPr>
        <w:t>CodeAbstract is a privacy-preserving framework for secure LLM code consultation built from four formally specified algorithms. The five-pillar evaluation shows a Privacy Information Ratio of 0.0024 with zero secret leakage, a 100 percent reconstruction token hit rate, a classification Macro-F1 of 0.8937, perfect AST isomorphism with zero cyclomatic-complexity change, and 9,872 lines per second on commodity CPU hardware. Comparison against four state-of-the-art frameworks confirms the strongest combined privacy-utility-efficiency profile, uniquely providing zero secret leakage, fully deterministic reconstruction, complete structural invariance, and GPU-free operation. Future work includes AST adapters for JavaScript/TypeScript, Java, Go, and Rust; a fine-tuned transformer classifier to sharpen VALUE / IDENTIFIER discrimination; adversarial robustness testing against membership-inference and model-inversion attacks; validation on industrial codebases of 10K-100K lines; and VS Code and JetBrains plug-ins for real-time abstraction on paste.</w:t>
      </w:r>
    </w:p>
    <w:p>
      <w:pPr>
        <w:spacing w:before="200" w:after="60" w:line="240" w:lineRule="auto"/>
        <w:jc w:val="center"/>
      </w:pPr>
      <w:r>
        <w:rPr>
          <w:rFonts w:ascii="Times New Roman" w:hAnsi="Times New Roman"/>
          <w:smallCaps/>
          <w:sz w:val="20"/>
        </w:rPr>
        <w:t>REFERENCES</w:t>
      </w:r>
    </w:p>
    <w:p>
      <w:pPr>
        <w:spacing w:line="240" w:lineRule="auto" w:after="20"/>
        <w:ind w:left="259" w:hanging="259"/>
      </w:pPr>
      <w:r>
        <w:rPr>
          <w:rFonts w:ascii="Times New Roman" w:hAnsi="Times New Roman"/>
          <w:sz w:val="16"/>
        </w:rPr>
        <w:t>[1]  Z. He, Y. Wang, X. Chen, et al., “ECCC: Edge-Cloud Collaborative Code Completion for Privacy-Preserving LLM Services,” ACL W-NLP Workshop, 2025.</w:t>
      </w:r>
    </w:p>
    <w:p>
      <w:pPr>
        <w:spacing w:line="240" w:lineRule="auto" w:after="20"/>
        <w:ind w:left="259" w:hanging="259"/>
      </w:pPr>
      <w:r>
        <w:rPr>
          <w:rFonts w:ascii="Times New Roman" w:hAnsi="Times New Roman"/>
          <w:sz w:val="16"/>
        </w:rPr>
        <w:t>[2]  M. De Tomasi, A. Ferrara, and L. Ferretti, “Simplicity by Obfuscation: Exploring the Impact of Code Transformations on LLM-Based Obfuscation Performance,” ACM EASE, 2025.</w:t>
      </w:r>
    </w:p>
    <w:p>
      <w:pPr>
        <w:spacing w:line="240" w:lineRule="auto" w:after="20"/>
        <w:ind w:left="259" w:hanging="259"/>
      </w:pPr>
      <w:r>
        <w:rPr>
          <w:rFonts w:ascii="Times New Roman" w:hAnsi="Times New Roman"/>
          <w:sz w:val="16"/>
        </w:rPr>
        <w:t>[3]  Y. Lin, C. Wan, H. Zhang, et al., “CodeCipher: Learning to Obfuscate Source Code Against LLMs,” arXiv:2410.05797, 2024.</w:t>
      </w:r>
    </w:p>
    <w:p>
      <w:pPr>
        <w:spacing w:line="240" w:lineRule="auto" w:after="20"/>
        <w:ind w:left="259" w:hanging="259"/>
      </w:pPr>
      <w:r>
        <w:rPr>
          <w:rFonts w:ascii="Times New Roman" w:hAnsi="Times New Roman"/>
          <w:sz w:val="16"/>
        </w:rPr>
        <w:t>[4]  M. Abedini, H. Mousavi, and M. Akbari, “MaskSQL: Bijective Masking for Privacy-Preserving Text-to-SQL with Cloud Language Models,” arXiv:2506.00533, 2025.</w:t>
      </w:r>
    </w:p>
    <w:p>
      <w:pPr>
        <w:spacing w:line="240" w:lineRule="auto" w:after="20"/>
        <w:ind w:left="259" w:hanging="259"/>
      </w:pPr>
      <w:r>
        <w:rPr>
          <w:rFonts w:ascii="Times New Roman" w:hAnsi="Times New Roman"/>
          <w:sz w:val="16"/>
        </w:rPr>
        <w:t>[5]  J. Yoon, L. N. Drumright, and M. van der Schaar, “Anonymization through Data Synthesis using Generative Adversarial Networks (ADS-GAN),” IEEE J. Biomed. Health Inform., 2020.</w:t>
      </w:r>
    </w:p>
    <w:p>
      <w:pPr>
        <w:spacing w:line="240" w:lineRule="auto" w:after="20"/>
        <w:ind w:left="259" w:hanging="259"/>
      </w:pPr>
      <w:r>
        <w:rPr>
          <w:rFonts w:ascii="Times New Roman" w:hAnsi="Times New Roman"/>
          <w:sz w:val="16"/>
        </w:rPr>
        <w:t>[6]  OpenAI, “GPT-4 Technical Report,” arXiv:2303.08774, 2023.</w:t>
      </w:r>
    </w:p>
    <w:p>
      <w:pPr>
        <w:spacing w:line="240" w:lineRule="auto" w:after="20"/>
        <w:ind w:left="259" w:hanging="259"/>
      </w:pPr>
      <w:r>
        <w:rPr>
          <w:rFonts w:ascii="Times New Roman" w:hAnsi="Times New Roman"/>
          <w:sz w:val="16"/>
        </w:rPr>
        <w:t>[7]  Google DeepMind, “Gemini: A Family of Highly Capable Multimodal Models,” arXiv:2312.11805, 2024.</w:t>
      </w:r>
    </w:p>
    <w:p>
      <w:pPr>
        <w:spacing w:line="240" w:lineRule="auto" w:after="20"/>
        <w:ind w:left="259" w:hanging="259"/>
      </w:pPr>
      <w:r>
        <w:rPr>
          <w:rFonts w:ascii="Times New Roman" w:hAnsi="Times New Roman"/>
          <w:sz w:val="16"/>
        </w:rPr>
        <w:t>[8]  T. J. McCabe, “A Complexity Measure,” IEEE Trans. Softw. Eng., vol. SE-2, no. 4, pp. 308-320, 1976.</w:t>
      </w:r>
    </w:p>
    <w:p>
      <w:pPr>
        <w:spacing w:line="240" w:lineRule="auto" w:after="20"/>
        <w:ind w:left="259" w:hanging="259"/>
      </w:pPr>
      <w:r>
        <w:rPr>
          <w:rFonts w:ascii="Times New Roman" w:hAnsi="Times New Roman"/>
          <w:sz w:val="16"/>
        </w:rPr>
        <w:t>[9]  GitGuardian, “State of Secrets Sprawl 2024,” Annual Report, 2024.</w:t>
      </w:r>
    </w:p>
    <w:p>
      <w:pPr>
        <w:spacing w:line="240" w:lineRule="auto" w:after="20"/>
        <w:ind w:left="259" w:hanging="259"/>
      </w:pPr>
      <w:r>
        <w:rPr>
          <w:rFonts w:ascii="Times New Roman" w:hAnsi="Times New Roman"/>
          <w:sz w:val="16"/>
        </w:rPr>
        <w:t>[10]  Samsung Electronics, “Internal Security Audit on Generative AI Usage,” reported by TechCrunch, Apr. 2023.</w:t>
      </w:r>
    </w:p>
    <w:sectPr w:rsidR="00FC693F" w:rsidRPr="0006063C" w:rsidSect="00034616">
      <w:type w:val="continuous"/>
      <w:pgSz w:w="11909" w:h="16834"/>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