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6E1" w:rsidRDefault="003466E1">
      <w:pPr>
        <w:rPr>
          <w:lang w:val="en-US"/>
        </w:rPr>
      </w:pPr>
      <w:r>
        <w:rPr>
          <w:lang w:val="en-US"/>
        </w:rPr>
        <w:t>Keywords</w:t>
      </w:r>
    </w:p>
    <w:p w:rsidR="003466E1" w:rsidRDefault="003466E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3260"/>
      </w:tblGrid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Precision Agriculture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Data-Driven Solution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Community Engagement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Environment Sensing Platforms (ESPs)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Crop Management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Technology Adoption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8A70D2">
              <w:rPr>
                <w:sz w:val="20"/>
                <w:szCs w:val="20"/>
                <w:highlight w:val="green"/>
                <w:lang w:val="en-US"/>
              </w:rPr>
              <w:t>Crop Monitoring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Resource Optimization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Interoperability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Nutrient Administration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Agricultural Technology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Cost reduction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Integration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8A70D2">
              <w:rPr>
                <w:sz w:val="20"/>
                <w:szCs w:val="20"/>
                <w:highlight w:val="green"/>
                <w:lang w:val="en-US"/>
              </w:rPr>
              <w:t>IOT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Smart sensor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Seamless Connectivity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 xml:space="preserve">Smart Farming 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Environmental stewardship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User Experience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Crop health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Ecosystem services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Sustainability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Environmental Monitoring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Sustainable urban development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Urban Greening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Data exchange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Agricultural Innovation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Tree planting initiatives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 xml:space="preserve">Sustainable development 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8A70D2">
              <w:rPr>
                <w:sz w:val="20"/>
                <w:szCs w:val="20"/>
                <w:highlight w:val="green"/>
                <w:lang w:val="en-US"/>
              </w:rPr>
              <w:t>Farm Management</w:t>
            </w:r>
            <w:r w:rsidRPr="00181A5B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Real-time data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Digital Agriculture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Resource efficiency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Centralized platform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 xml:space="preserve">Remote sensing 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Urbanization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Agricultural productivity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Urban forestry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Green spaces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Environmental Health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Air Quality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Plant Nutrition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Widespread adoption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Climate regulation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Data Integration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Market-Purchased devices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Green infrastructure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Climate change mitigation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Production efficiency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Public health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Ecological restoration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Hardware integration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Adoption barrier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Public awareness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8A70D2">
              <w:rPr>
                <w:sz w:val="20"/>
                <w:szCs w:val="20"/>
                <w:highlight w:val="green"/>
                <w:lang w:val="en-US"/>
              </w:rPr>
              <w:t>Cost-effectiveness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Remote monitoring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Sustainable food production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Standardized communication protocols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Sensor networks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Mobile technology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Urban challenges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Data Analytics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Precision agriculture solution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Environmental risks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Adaptive management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Urban ecology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Biodiversity Conservation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Precision nutrient delivery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Land use planning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Sustainable Practices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Soil health</w:t>
            </w:r>
          </w:p>
        </w:tc>
        <w:tc>
          <w:tcPr>
            <w:tcW w:w="3260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Data visualization</w:t>
            </w:r>
          </w:p>
        </w:tc>
      </w:tr>
      <w:tr w:rsidR="00181A5B" w:rsidTr="00181A5B">
        <w:tc>
          <w:tcPr>
            <w:tcW w:w="3397" w:type="dxa"/>
          </w:tcPr>
          <w:p w:rsidR="00181A5B" w:rsidRPr="003466E1" w:rsidRDefault="00181A5B">
            <w:pPr>
              <w:rPr>
                <w:sz w:val="20"/>
                <w:szCs w:val="20"/>
                <w:lang w:val="en-US"/>
              </w:rPr>
            </w:pPr>
            <w:r w:rsidRPr="003466E1">
              <w:rPr>
                <w:sz w:val="20"/>
                <w:szCs w:val="20"/>
                <w:lang w:val="en-US"/>
              </w:rPr>
              <w:t>Decision-making</w:t>
            </w:r>
          </w:p>
        </w:tc>
        <w:tc>
          <w:tcPr>
            <w:tcW w:w="2127" w:type="dxa"/>
          </w:tcPr>
          <w:p w:rsidR="00181A5B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Climate resilience</w:t>
            </w:r>
          </w:p>
        </w:tc>
        <w:tc>
          <w:tcPr>
            <w:tcW w:w="3260" w:type="dxa"/>
          </w:tcPr>
          <w:p w:rsidR="008A70D2" w:rsidRPr="00181A5B" w:rsidRDefault="00181A5B">
            <w:pPr>
              <w:rPr>
                <w:sz w:val="20"/>
                <w:szCs w:val="20"/>
                <w:lang w:val="en-US"/>
              </w:rPr>
            </w:pPr>
            <w:r w:rsidRPr="00181A5B">
              <w:rPr>
                <w:sz w:val="20"/>
                <w:szCs w:val="20"/>
                <w:lang w:val="en-US"/>
              </w:rPr>
              <w:t>Geographic Information system (GIS)</w:t>
            </w:r>
          </w:p>
        </w:tc>
      </w:tr>
      <w:tr w:rsidR="008A70D2" w:rsidTr="00181A5B">
        <w:tc>
          <w:tcPr>
            <w:tcW w:w="3397" w:type="dxa"/>
          </w:tcPr>
          <w:p w:rsidR="008A70D2" w:rsidRPr="008A70D2" w:rsidRDefault="008A70D2">
            <w:pPr>
              <w:rPr>
                <w:sz w:val="20"/>
                <w:szCs w:val="20"/>
                <w:highlight w:val="green"/>
                <w:lang w:val="en-US"/>
              </w:rPr>
            </w:pPr>
            <w:r w:rsidRPr="008A70D2">
              <w:rPr>
                <w:sz w:val="20"/>
                <w:szCs w:val="20"/>
                <w:highlight w:val="green"/>
                <w:lang w:val="en-US"/>
              </w:rPr>
              <w:t xml:space="preserve">Plant Management </w:t>
            </w:r>
          </w:p>
        </w:tc>
        <w:tc>
          <w:tcPr>
            <w:tcW w:w="2127" w:type="dxa"/>
          </w:tcPr>
          <w:p w:rsidR="008A70D2" w:rsidRPr="008A70D2" w:rsidRDefault="008A70D2">
            <w:pPr>
              <w:rPr>
                <w:sz w:val="20"/>
                <w:szCs w:val="20"/>
                <w:highlight w:val="green"/>
                <w:lang w:val="en-US"/>
              </w:rPr>
            </w:pPr>
            <w:proofErr w:type="spellStart"/>
            <w:r w:rsidRPr="008A70D2">
              <w:rPr>
                <w:sz w:val="20"/>
                <w:szCs w:val="20"/>
                <w:highlight w:val="green"/>
                <w:lang w:val="en-US"/>
              </w:rPr>
              <w:t>NodeBand</w:t>
            </w:r>
            <w:proofErr w:type="spellEnd"/>
            <w:r w:rsidRPr="008A70D2">
              <w:rPr>
                <w:sz w:val="20"/>
                <w:szCs w:val="20"/>
                <w:highlight w:val="green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:rsidR="008A70D2" w:rsidRPr="008A70D2" w:rsidRDefault="008A70D2">
            <w:pPr>
              <w:rPr>
                <w:sz w:val="20"/>
                <w:szCs w:val="20"/>
                <w:highlight w:val="green"/>
                <w:lang w:val="en-US"/>
              </w:rPr>
            </w:pPr>
            <w:r w:rsidRPr="008A70D2">
              <w:rPr>
                <w:sz w:val="20"/>
                <w:szCs w:val="20"/>
                <w:highlight w:val="green"/>
                <w:lang w:val="en-US"/>
              </w:rPr>
              <w:t>Irrigation</w:t>
            </w:r>
          </w:p>
        </w:tc>
      </w:tr>
    </w:tbl>
    <w:p w:rsidR="003466E1" w:rsidRPr="003466E1" w:rsidRDefault="003466E1">
      <w:pPr>
        <w:rPr>
          <w:lang w:val="en-US"/>
        </w:rPr>
      </w:pPr>
    </w:p>
    <w:sectPr w:rsidR="003466E1" w:rsidRPr="0034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3431"/>
    <w:multiLevelType w:val="multilevel"/>
    <w:tmpl w:val="0924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29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E1"/>
    <w:rsid w:val="00181A5B"/>
    <w:rsid w:val="003466E1"/>
    <w:rsid w:val="00373F98"/>
    <w:rsid w:val="008679A3"/>
    <w:rsid w:val="008A70D2"/>
    <w:rsid w:val="00B26ECE"/>
    <w:rsid w:val="00D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BC639"/>
  <w15:chartTrackingRefBased/>
  <w15:docId w15:val="{34E4C415-35AD-DB4D-ADE9-7E616CA1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Goyal</dc:creator>
  <cp:keywords/>
  <dc:description/>
  <cp:lastModifiedBy>Adarsh Goyal</cp:lastModifiedBy>
  <cp:revision>3</cp:revision>
  <dcterms:created xsi:type="dcterms:W3CDTF">2024-04-28T09:25:00Z</dcterms:created>
  <dcterms:modified xsi:type="dcterms:W3CDTF">2024-05-02T08:09:00Z</dcterms:modified>
</cp:coreProperties>
</file>