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Aptos" w:hAnsi="Aptos"/>
          <w:b/>
          <w:color w:val="1F4E78"/>
          <w:sz w:val="20"/>
        </w:rPr>
        <w:t>OVERSEED</w:t>
      </w:r>
    </w:p>
    <w:p>
      <w:pPr>
        <w:spacing w:after="60"/>
      </w:pPr>
      <w:r>
        <w:rPr>
          <w:rFonts w:ascii="Aptos Display" w:hAnsi="Aptos Display"/>
          <w:b/>
          <w:color w:val="142D46"/>
          <w:sz w:val="50"/>
        </w:rPr>
        <w:t>Infrastructure Survival Budget</w:t>
      </w:r>
    </w:p>
    <w:p>
      <w:pPr>
        <w:spacing w:after="200"/>
      </w:pPr>
      <w:r>
        <w:rPr>
          <w:rFonts w:ascii="Aptos" w:hAnsi="Aptos"/>
          <w:b w:val="0"/>
          <w:color w:val="59636E"/>
          <w:sz w:val="22"/>
        </w:rPr>
        <w:t>Editable worksheet for unit pricing, monthly cost, annualized forecasts, and runway planning</w:t>
      </w:r>
    </w:p>
    <w:p>
      <w:pPr>
        <w:pStyle w:val="BudgetNote"/>
      </w:pPr>
      <w:r>
        <w:rPr>
          <w:rFonts w:ascii="Aptos" w:hAnsi="Aptos"/>
          <w:b/>
          <w:color w:val="1F4E78"/>
          <w:sz w:val="19"/>
        </w:rPr>
        <w:t xml:space="preserve">How to use this document: </w:t>
      </w:r>
      <w:r>
        <w:rPr>
          <w:rFonts w:ascii="Aptos" w:hAnsi="Aptos"/>
          <w:b w:val="0"/>
          <w:color w:val="1F2937"/>
          <w:sz w:val="19"/>
        </w:rPr>
        <w:t>Enter the expected monthly usage and vendor unit price for each line. Mark only genuinely unavoidable services as Essential. Use the summary at the end to distinguish bare-minimum survival from the current baseline and a growth-ready plan. All monetary fields are intentionally blank because pricing depends on account tier, region, volume, and negotiated terms.</w:t>
      </w:r>
    </w:p>
    <w:p>
      <w:pPr>
        <w:pStyle w:val="Heading1"/>
      </w:pPr>
      <w:r>
        <w:t>Planning assumptions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600"/>
        <w:gridCol w:w="2100"/>
        <w:gridCol w:w="5500"/>
      </w:tblGrid>
      <w:tr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Forecast currency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</w:t>
            </w:r>
          </w:p>
        </w:tc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Forecast period</w:t>
            </w:r>
          </w:p>
        </w:tc>
        <w:tc>
          <w:tcPr>
            <w:tcW w:type="dxa" w:w="5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 to ____________</w:t>
            </w:r>
          </w:p>
        </w:tc>
      </w:tr>
      <w:tr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Starting cash available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$____________</w:t>
            </w:r>
          </w:p>
        </w:tc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Target runway</w:t>
            </w:r>
          </w:p>
        </w:tc>
        <w:tc>
          <w:tcPr>
            <w:tcW w:type="dxa" w:w="5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 months</w:t>
            </w:r>
          </w:p>
        </w:tc>
      </w:tr>
      <w:tr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Expected active users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</w:t>
            </w:r>
          </w:p>
        </w:tc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Expected monthly growth</w:t>
            </w:r>
          </w:p>
        </w:tc>
        <w:tc>
          <w:tcPr>
            <w:tcW w:type="dxa" w:w="5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 %</w:t>
            </w:r>
          </w:p>
        </w:tc>
      </w:tr>
      <w:tr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Contingency rate</w:t>
            </w:r>
          </w:p>
        </w:tc>
        <w:tc>
          <w:tcPr>
            <w:tcW w:type="dxa" w:w="26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 %</w:t>
            </w:r>
          </w:p>
        </w:tc>
        <w:tc>
          <w:tcPr>
            <w:tcW w:type="dxa" w:w="2100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Last pricing review</w:t>
            </w:r>
          </w:p>
        </w:tc>
        <w:tc>
          <w:tcPr>
            <w:tcW w:type="dxa" w:w="55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____________</w:t>
            </w:r>
          </w:p>
        </w:tc>
      </w:tr>
    </w:tbl>
    <w:p>
      <w:pPr>
        <w:pStyle w:val="Heading1"/>
      </w:pPr>
      <w:r>
        <w:t>1. Core production infrastructure</w:t>
      </w:r>
    </w:p>
    <w:p>
      <w:pPr/>
      <w:r>
        <w:t>Start here when calculating the minimum amount required to keep the product operational.</w:t>
      </w:r>
    </w:p>
    <w:p>
      <w:pPr>
        <w:pStyle w:val="BudgetNote"/>
      </w:pPr>
      <w:r>
        <w:rPr>
          <w:rFonts w:ascii="Aptos" w:hAnsi="Aptos"/>
          <w:b/>
          <w:color w:val="1F4E78"/>
          <w:sz w:val="18"/>
        </w:rPr>
        <w:t xml:space="preserve">Calculation rule: </w:t>
      </w:r>
      <w:r>
        <w:rPr>
          <w:rFonts w:ascii="Aptos" w:hAnsi="Aptos"/>
          <w:b w:val="0"/>
          <w:color w:val="1F2937"/>
          <w:sz w:val="18"/>
        </w:rPr>
        <w:t>Monthly forecast = units per month × unit price. Annualized forecast = monthly forecast × 12. For annual flat fees, enter 1/12 of the fee as the monthly forecast.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300"/>
        <w:gridCol w:w="1050"/>
        <w:gridCol w:w="1050"/>
        <w:gridCol w:w="1250"/>
        <w:gridCol w:w="1450"/>
        <w:gridCol w:w="950"/>
        <w:gridCol w:w="2450"/>
      </w:tblGrid>
      <w:tr>
        <w:trPr>
          <w:tblHeader w:val="true"/>
        </w:trPr>
        <w:tc>
          <w:tcPr>
            <w:tcW w:type="dxa" w:w="19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Infrastructure</w:t>
            </w:r>
          </w:p>
        </w:tc>
        <w:tc>
          <w:tcPr>
            <w:tcW w:type="dxa" w:w="23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Cost driver / billing basis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Units / month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 price</w:t>
            </w:r>
          </w:p>
        </w:tc>
        <w:tc>
          <w:tcPr>
            <w:tcW w:type="dxa" w:w="12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Monthly forecast</w:t>
            </w:r>
          </w:p>
        </w:tc>
        <w:tc>
          <w:tcPr>
            <w:tcW w:type="dxa" w:w="1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Annualized forecast</w:t>
            </w:r>
          </w:p>
        </w:tc>
        <w:tc>
          <w:tcPr>
            <w:tcW w:type="dxa" w:w="9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Essential?</w:t>
            </w:r>
          </w:p>
        </w:tc>
        <w:tc>
          <w:tcPr>
            <w:tcW w:type="dxa" w:w="2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 / pricing source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Vercel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Hosting tier, bandwidth, function execution, and team seats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Recommended deployment platform; verify actual production plan.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Neon PostgreSQL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Compute hours, storage, data transfer, and backup tier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Documented as the current hosted PostgreSQL setup.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Prisma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ORM is open source; include paid platform costs only if adopted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Schema, migrations, client generation, and database access.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AWS S3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GB stored + requests + internet data transfer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Object storage for uploads and screenshots; local upload fallback exists.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NextAuth.js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Open source; budget hosting/database usage rather than a license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Session and authentication orchestration.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Google OAuth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Usually no direct per-login fee; record any related cloud costs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Configured sign-in provider.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Stripe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% + fixed fee per transaction; subscriptions and payment intents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Checkout, subscriptions, webhooks, and platform payments.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Stripe Connect Express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Connected-account and payout/transfer fees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Creator onboarding and payout management.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Pusher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Connections, channels, and messages/events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Real-time messaging; application can fall back to polling.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Resend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Emails sent and plan allowance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OTP and creator-outreach email delivery.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SMTP provider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Mailbox/relay plan and messages sent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Nodemailer-powered contact form; may be consolidated with Resend.</w:t>
            </w:r>
          </w:p>
        </w:tc>
      </w:tr>
    </w:tbl>
    <w:p>
      <w:pPr>
        <w:spacing w:after="20"/>
      </w:pPr>
    </w:p>
    <w:p>
      <w:pPr>
        <w:pStyle w:val="Heading1"/>
      </w:pPr>
      <w:r>
        <w:t>2. AI and translation services</w:t>
      </w:r>
    </w:p>
    <w:p>
      <w:pPr/>
      <w:r>
        <w:t>Use realistic monthly caps. For survival planning, disable or rate-limit providers that are not required for the core customer journey.</w:t>
      </w:r>
    </w:p>
    <w:p>
      <w:pPr>
        <w:pStyle w:val="BudgetNote"/>
      </w:pPr>
      <w:r>
        <w:rPr>
          <w:rFonts w:ascii="Aptos" w:hAnsi="Aptos"/>
          <w:b/>
          <w:color w:val="1F4E78"/>
          <w:sz w:val="18"/>
        </w:rPr>
        <w:t xml:space="preserve">Calculation rule: </w:t>
      </w:r>
      <w:r>
        <w:rPr>
          <w:rFonts w:ascii="Aptos" w:hAnsi="Aptos"/>
          <w:b w:val="0"/>
          <w:color w:val="1F2937"/>
          <w:sz w:val="18"/>
        </w:rPr>
        <w:t>Monthly forecast = units per month × unit price. Annualized forecast = monthly forecast × 12. For annual flat fees, enter 1/12 of the fee as the monthly forecast.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300"/>
        <w:gridCol w:w="1050"/>
        <w:gridCol w:w="1050"/>
        <w:gridCol w:w="1250"/>
        <w:gridCol w:w="1450"/>
        <w:gridCol w:w="950"/>
        <w:gridCol w:w="2450"/>
      </w:tblGrid>
      <w:tr>
        <w:trPr>
          <w:tblHeader w:val="true"/>
        </w:trPr>
        <w:tc>
          <w:tcPr>
            <w:tcW w:type="dxa" w:w="19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Infrastructure</w:t>
            </w:r>
          </w:p>
        </w:tc>
        <w:tc>
          <w:tcPr>
            <w:tcW w:type="dxa" w:w="23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Cost driver / billing basis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Units / month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 price</w:t>
            </w:r>
          </w:p>
        </w:tc>
        <w:tc>
          <w:tcPr>
            <w:tcW w:type="dxa" w:w="12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Monthly forecast</w:t>
            </w:r>
          </w:p>
        </w:tc>
        <w:tc>
          <w:tcPr>
            <w:tcW w:type="dxa" w:w="1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Annualized forecast</w:t>
            </w:r>
          </w:p>
        </w:tc>
        <w:tc>
          <w:tcPr>
            <w:tcW w:type="dxa" w:w="9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Essential?</w:t>
            </w:r>
          </w:p>
        </w:tc>
        <w:tc>
          <w:tcPr>
            <w:tcW w:type="dxa" w:w="2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 / pricing source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OpenAI API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Input/output tokens, images generated, and vision usage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Used for assistant chat, translations, images, and screenshot analysis.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Anthropic API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Input/output tokens and prompt caching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Claude assistant models.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DeepSeek API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Input/output tokens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OpenAI-compatible assistant models.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Moonshot / Kimi API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Input/output tokens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Kimi assistant models.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Google Cloud Translation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Characters translated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Content translation; application has a dictionary fallback.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Google Gemini / Veo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Generated video seconds and resolution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Experimental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Used only by the video-creator test subproject.</w:t>
            </w:r>
          </w:p>
        </w:tc>
      </w:tr>
    </w:tbl>
    <w:p>
      <w:pPr>
        <w:spacing w:after="20"/>
      </w:pPr>
    </w:p>
    <w:p>
      <w:pPr>
        <w:pStyle w:val="Heading1"/>
      </w:pPr>
      <w:r>
        <w:t>3. Discovery, social, and optional integrations</w:t>
      </w:r>
    </w:p>
    <w:p>
      <w:pPr/>
      <w:r>
        <w:t>Keep these outside the bare-minimum budget unless they directly drive acquisition or contracted customer functionality.</w:t>
      </w:r>
    </w:p>
    <w:p>
      <w:pPr>
        <w:pStyle w:val="BudgetNote"/>
      </w:pPr>
      <w:r>
        <w:rPr>
          <w:rFonts w:ascii="Aptos" w:hAnsi="Aptos"/>
          <w:b/>
          <w:color w:val="1F4E78"/>
          <w:sz w:val="18"/>
        </w:rPr>
        <w:t xml:space="preserve">Calculation rule: </w:t>
      </w:r>
      <w:r>
        <w:rPr>
          <w:rFonts w:ascii="Aptos" w:hAnsi="Aptos"/>
          <w:b w:val="0"/>
          <w:color w:val="1F2937"/>
          <w:sz w:val="18"/>
        </w:rPr>
        <w:t>Monthly forecast = units per month × unit price. Annualized forecast = monthly forecast × 12. For annual flat fees, enter 1/12 of the fee as the monthly forecast.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300"/>
        <w:gridCol w:w="1050"/>
        <w:gridCol w:w="1050"/>
        <w:gridCol w:w="1250"/>
        <w:gridCol w:w="1450"/>
        <w:gridCol w:w="950"/>
        <w:gridCol w:w="2450"/>
      </w:tblGrid>
      <w:tr>
        <w:trPr>
          <w:tblHeader w:val="true"/>
        </w:trPr>
        <w:tc>
          <w:tcPr>
            <w:tcW w:type="dxa" w:w="19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Infrastructure</w:t>
            </w:r>
          </w:p>
        </w:tc>
        <w:tc>
          <w:tcPr>
            <w:tcW w:type="dxa" w:w="23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Cost driver / billing basis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Units / month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 price</w:t>
            </w:r>
          </w:p>
        </w:tc>
        <w:tc>
          <w:tcPr>
            <w:tcW w:type="dxa" w:w="12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Monthly forecast</w:t>
            </w:r>
          </w:p>
        </w:tc>
        <w:tc>
          <w:tcPr>
            <w:tcW w:type="dxa" w:w="1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Annualized forecast</w:t>
            </w:r>
          </w:p>
        </w:tc>
        <w:tc>
          <w:tcPr>
            <w:tcW w:type="dxa" w:w="9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Essential?</w:t>
            </w:r>
          </w:p>
        </w:tc>
        <w:tc>
          <w:tcPr>
            <w:tcW w:type="dxa" w:w="2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 / pricing source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KOL FastAPI sidecar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Hosting compute, memory, requests, logs, and egress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External creator-discovery service referenced through KOL_API_URL.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Influencers Club API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API plan, profiles, enrichment records, or credits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Creator discovery and enrichment.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YouTube Data API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Quota allocation and any associated Google Cloud costs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Credential is configured, but this repository contains no direct usage.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Facebook OAuth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Usually no direct fee; include developer/platform overhead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Implemented, but local credentials are empty.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WeChat Open Platform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Registration, verification, or platform service costs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Optional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Configured but feature-flagged and described as in development.</w:t>
            </w:r>
          </w:p>
        </w:tc>
      </w:tr>
    </w:tbl>
    <w:p>
      <w:pPr>
        <w:spacing w:after="20"/>
      </w:pPr>
    </w:p>
    <w:p>
      <w:pPr>
        <w:pStyle w:val="Heading1"/>
      </w:pPr>
      <w:r>
        <w:t>4. Often-missed operating costs</w:t>
      </w:r>
    </w:p>
    <w:p>
      <w:pPr/>
      <w:r>
        <w:t>These are not all visible in application code, but omitting them can make a survival estimate materially too low.</w:t>
      </w:r>
    </w:p>
    <w:p>
      <w:pPr>
        <w:pStyle w:val="BudgetNote"/>
      </w:pPr>
      <w:r>
        <w:rPr>
          <w:rFonts w:ascii="Aptos" w:hAnsi="Aptos"/>
          <w:b/>
          <w:color w:val="1F4E78"/>
          <w:sz w:val="18"/>
        </w:rPr>
        <w:t xml:space="preserve">Calculation rule: </w:t>
      </w:r>
      <w:r>
        <w:rPr>
          <w:rFonts w:ascii="Aptos" w:hAnsi="Aptos"/>
          <w:b w:val="0"/>
          <w:color w:val="1F2937"/>
          <w:sz w:val="18"/>
        </w:rPr>
        <w:t>Monthly forecast = units per month × unit price. Annualized forecast = monthly forecast × 12. For annual flat fees, enter 1/12 of the fee as the monthly forecast.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300"/>
        <w:gridCol w:w="1050"/>
        <w:gridCol w:w="1050"/>
        <w:gridCol w:w="1250"/>
        <w:gridCol w:w="1450"/>
        <w:gridCol w:w="950"/>
        <w:gridCol w:w="2450"/>
      </w:tblGrid>
      <w:tr>
        <w:trPr>
          <w:tblHeader w:val="true"/>
        </w:trPr>
        <w:tc>
          <w:tcPr>
            <w:tcW w:type="dxa" w:w="19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Infrastructure</w:t>
            </w:r>
          </w:p>
        </w:tc>
        <w:tc>
          <w:tcPr>
            <w:tcW w:type="dxa" w:w="23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Cost driver / billing basis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Units / month</w:t>
            </w:r>
          </w:p>
        </w:tc>
        <w:tc>
          <w:tcPr>
            <w:tcW w:type="dxa" w:w="10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Unit price</w:t>
            </w:r>
          </w:p>
        </w:tc>
        <w:tc>
          <w:tcPr>
            <w:tcW w:type="dxa" w:w="12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Monthly forecast</w:t>
            </w:r>
          </w:p>
        </w:tc>
        <w:tc>
          <w:tcPr>
            <w:tcW w:type="dxa" w:w="1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Annualized forecast</w:t>
            </w:r>
          </w:p>
        </w:tc>
        <w:tc>
          <w:tcPr>
            <w:tcW w:type="dxa" w:w="9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Essential?</w:t>
            </w:r>
          </w:p>
        </w:tc>
        <w:tc>
          <w:tcPr>
            <w:tcW w:type="dxa" w:w="2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Notes / pricing source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Domain registration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Domains × annual renewal price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Not represented in code, but normally required for production availability.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DNS / CDN / edge security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Zone, traffic, requests, WAF, and protection tier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Conditional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May be included with Vercel or a separate provider.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Monitoring and error tracking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Events, errors, traces, logs, and retention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Recommended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No dedicated provider is present in the repository.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Backups and recovery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Storage, snapshots, retention, and restore testing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Yes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Confirm what Neon and S3 plans include before adding a separate line.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Source control / CI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Seats, build minutes, artifacts, and runners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Recommended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GitHub is referenced in deployment instructions; no CI workflow is present.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Security and secrets management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Seats, stored secrets, scans, and audit features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Recommended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Add only if not included in the hosting platform.</w:t>
            </w:r>
          </w:p>
        </w:tc>
      </w:tr>
      <w:tr>
        <w:tc>
          <w:tcPr>
            <w:tcW w:type="dxa" w:w="1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Support / maintenance reserve</w:t>
            </w:r>
          </w:p>
        </w:tc>
        <w:tc>
          <w:tcPr>
            <w:tcW w:type="dxa" w:w="2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Engineering hours or monthly retainer</w:t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Recommended</w:t>
            </w:r>
          </w:p>
        </w:tc>
        <w:tc>
          <w:tcPr>
            <w:tcW w:type="dxa" w:w="2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Operational labor is often larger than vendor infrastructure cost.</w:t>
            </w:r>
          </w:p>
        </w:tc>
      </w:tr>
      <w:tr>
        <w:tc>
          <w:tcPr>
            <w:tcW w:type="dxa" w:w="1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Taxes and foreign-exchange buffer</w:t>
            </w:r>
          </w:p>
        </w:tc>
        <w:tc>
          <w:tcPr>
            <w:tcW w:type="dxa" w:w="2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Percentage of vendor spend</w:t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0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2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</w:r>
          </w:p>
        </w:tc>
        <w:tc>
          <w:tcPr>
            <w:tcW w:type="dxa" w:w="9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Recommended</w:t>
            </w:r>
          </w:p>
        </w:tc>
        <w:tc>
          <w:tcPr>
            <w:tcW w:type="dxa" w:w="2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6"/>
              </w:rPr>
              <w:t>Use when vendors bill in another currency or exclude applicable taxes.</w:t>
            </w:r>
          </w:p>
        </w:tc>
      </w:tr>
    </w:tbl>
    <w:p>
      <w:pPr>
        <w:spacing w:after="20"/>
      </w:pPr>
    </w:p>
    <w:p>
      <w:pPr>
        <w:pStyle w:val="Heading1"/>
      </w:pPr>
      <w:r>
        <w:t>5. Survival-budget summary</w:t>
      </w:r>
    </w:p>
    <w:p>
      <w:r>
        <w:t>Transfer the totals from the detailed tables into the appropriate layer. Avoid counting the same service in more than one layer when calculating the final funding target.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1450"/>
        <w:gridCol w:w="1450"/>
        <w:gridCol w:w="1550"/>
        <w:gridCol w:w="5550"/>
      </w:tblGrid>
      <w:tr>
        <w:trPr>
          <w:tblHeader w:val="true"/>
        </w:trPr>
        <w:tc>
          <w:tcPr>
            <w:tcW w:type="dxa" w:w="23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Budget layer</w:t>
            </w:r>
          </w:p>
        </w:tc>
        <w:tc>
          <w:tcPr>
            <w:tcW w:type="dxa" w:w="1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Monthly total</w:t>
            </w:r>
          </w:p>
        </w:tc>
        <w:tc>
          <w:tcPr>
            <w:tcW w:type="dxa" w:w="14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Annual total</w:t>
            </w:r>
          </w:p>
        </w:tc>
        <w:tc>
          <w:tcPr>
            <w:tcW w:type="dxa" w:w="15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Cash runway (months)</w:t>
            </w:r>
          </w:p>
        </w:tc>
        <w:tc>
          <w:tcPr>
            <w:tcW w:type="dxa" w:w="555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Bare-minimum survival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5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Only services required to keep the product available and secure.</w:t>
            </w:r>
          </w:p>
        </w:tc>
      </w:tr>
      <w:tr>
        <w:tc>
          <w:tcPr>
            <w:tcW w:type="dxa" w:w="23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Current operating baseline</w:t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5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55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Survival layer plus normal production usage.</w:t>
            </w:r>
          </w:p>
        </w:tc>
      </w:tr>
      <w:t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Growth-ready plan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5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Baseline plus optional capacity, discovery, and experimental services.</w:t>
            </w:r>
          </w:p>
        </w:tc>
      </w:tr>
      <w:tr>
        <w:tc>
          <w:tcPr>
            <w:tcW w:type="dxa" w:w="23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Contingency reserve</w:t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4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5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555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Recommended: 10%–20% of annual operating infrastructure.</w:t>
            </w:r>
          </w:p>
        </w:tc>
      </w:tr>
      <w:tr>
        <w:tc>
          <w:tcPr>
            <w:tcW w:type="dxa" w:w="23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Total funding target</w:t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4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1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</w:r>
          </w:p>
        </w:tc>
        <w:tc>
          <w:tcPr>
            <w:tcW w:type="dxa" w:w="555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Annual plan plus contingency and any one-time setup costs.</w:t>
            </w:r>
          </w:p>
        </w:tc>
      </w:tr>
    </w:tbl>
    <w:p>
      <w:pPr>
        <w:pStyle w:val="Heading2"/>
      </w:pPr>
      <w:r>
        <w:t>Runway formulas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00"/>
        <w:gridCol w:w="8900"/>
      </w:tblGrid>
      <w:tr>
        <w:tc>
          <w:tcPr>
            <w:tcW w:type="dxa" w:w="33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890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Formula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Annual infrastructure total</w:t>
            </w:r>
          </w:p>
        </w:tc>
        <w:tc>
          <w:tcPr>
            <w:tcW w:type="dxa" w:w="8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Sum of all included annualized forecasts</w:t>
            </w:r>
          </w:p>
        </w:tc>
      </w:tr>
      <w:tr>
        <w:tc>
          <w:tcPr>
            <w:tcW w:type="dxa" w:w="3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Average monthly burn</w:t>
            </w:r>
          </w:p>
        </w:tc>
        <w:tc>
          <w:tcPr>
            <w:tcW w:type="dxa" w:w="8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Annual infrastructure total ÷ 12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Cash runway</w:t>
            </w:r>
          </w:p>
        </w:tc>
        <w:tc>
          <w:tcPr>
            <w:tcW w:type="dxa" w:w="8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Cash available ÷ average monthly burn</w:t>
            </w:r>
          </w:p>
        </w:tc>
      </w:tr>
      <w:tr>
        <w:tc>
          <w:tcPr>
            <w:tcW w:type="dxa" w:w="33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Survival funding target</w:t>
            </w:r>
          </w:p>
        </w:tc>
        <w:tc>
          <w:tcPr>
            <w:tcW w:type="dxa" w:w="8900"/>
            <w:shd w:fill="EEF5FA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Bare-minimum annual total + contingency reserve + one-time setup costs</w:t>
            </w:r>
          </w:p>
        </w:tc>
      </w:tr>
      <w:tr>
        <w:tc>
          <w:tcPr>
            <w:tcW w:type="dxa" w:w="33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/>
                <w:color w:val="1F2937"/>
                <w:sz w:val="18"/>
              </w:rPr>
              <w:t>Suggested contingency</w:t>
            </w:r>
          </w:p>
        </w:tc>
        <w:tc>
          <w:tcPr>
            <w:tcW w:type="dxa" w:w="890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ptos" w:hAnsi="Aptos"/>
                <w:b w:val="0"/>
                <w:color w:val="1F2937"/>
                <w:sz w:val="18"/>
              </w:rPr>
              <w:t>10%–20% × annual operating infrastructure, adjusted for usage uncertainty</w:t>
            </w:r>
          </w:p>
        </w:tc>
      </w:tr>
    </w:tbl>
    <w:p>
      <w:pPr>
        <w:pStyle w:val="Heading2"/>
      </w:pPr>
      <w:r>
        <w:t>Final review checklist</w:t>
      </w:r>
    </w:p>
    <w:p>
      <w:pPr>
        <w:spacing w:after="60"/>
        <w:ind w:left="216"/>
      </w:pPr>
      <w:r>
        <w:t>☐ Every included service has a documented pricing source and review date.</w:t>
      </w:r>
    </w:p>
    <w:p>
      <w:pPr>
        <w:spacing w:after="60"/>
        <w:ind w:left="216"/>
      </w:pPr>
      <w:r>
        <w:t>☐ Usage assumptions reflect a low, expected, and high scenario where costs are variable.</w:t>
      </w:r>
    </w:p>
    <w:p>
      <w:pPr>
        <w:spacing w:after="60"/>
        <w:ind w:left="216"/>
      </w:pPr>
      <w:r>
        <w:t>☐ Free-tier limits and overage rates have both been considered.</w:t>
      </w:r>
    </w:p>
    <w:p>
      <w:pPr>
        <w:spacing w:after="60"/>
        <w:ind w:left="216"/>
      </w:pPr>
      <w:r>
        <w:t>☐ Transactional costs such as Stripe fees scale with forecast payment volume.</w:t>
      </w:r>
    </w:p>
    <w:p>
      <w:pPr>
        <w:spacing w:after="60"/>
        <w:ind w:left="216"/>
      </w:pPr>
      <w:r>
        <w:t>☐ AI, storage, bandwidth, email, and real-time messaging have explicit monthly caps or alerts.</w:t>
      </w:r>
    </w:p>
    <w:p>
      <w:pPr>
        <w:spacing w:after="60"/>
        <w:ind w:left="216"/>
      </w:pPr>
      <w:r>
        <w:t>☐ Taxes, currency conversion, backups, monitoring, domain renewal, and maintenance are included.</w:t>
      </w:r>
    </w:p>
    <w:p>
      <w:pPr>
        <w:spacing w:after="60"/>
        <w:ind w:left="216"/>
      </w:pPr>
      <w:r>
        <w:t>☐ The bare-minimum plan has a documented list of features that would be disabled during survival mode.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59636E"/>
        <w:sz w:val="16"/>
      </w:rPr>
      <w:t>Working budget template • Update assumptions whenever vendor pricing or usage changes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636E"/>
        <w:sz w:val="16"/>
      </w:rPr>
      <w:t>OVERSEED  |  INFRASTRUCTURE COST PLANNING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udgetNote">
    <w:name w:val="Budget Note"/>
    <w:pPr>
      <w:spacing w:before="40" w:after="120"/>
      <w:ind w:left="173" w:right="173"/>
    </w:pPr>
    <w:rPr>
      <w:rFonts w:ascii="Aptos" w:hAnsi="Apto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Overseed Infrastructure Survival Budget</dc:title>
  <dc:subject>Editable infrastructure pricing and annual forecast worksheet</dc:subject>
  <dc:creator>Overseed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