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4F9C"/>
        </w:rPr>
        <w:t>CREDX · CREDIT APPRAISAL MEMORANDUM</w:t>
      </w:r>
    </w:p>
    <w:p>
      <w:pPr>
        <w:pStyle w:val="Title"/>
      </w:pPr>
      <w:r>
        <w:t>Kaveri Infra Projects Limited</w:t>
      </w:r>
    </w:p>
    <w:p>
      <w:pPr>
        <w:jc w:val="left"/>
      </w:pPr>
      <w:r>
        <w:t>CX-2026-0003 · Cash Credit · Version 1 · 04 Oct 2026 · Strictly confidential</w:t>
      </w:r>
    </w:p>
    <w:p>
      <w:pPr>
        <w:pStyle w:val="Heading1"/>
      </w:pPr>
      <w:r>
        <w:t>1. Executive Summary</w:t>
      </w:r>
    </w:p>
    <w:p>
      <w:r>
        <w:rPr>
          <w:b/>
        </w:rPr>
        <w:t>Recommendation: Approve with conditions</w:t>
      </w:r>
    </w:p>
    <w:p>
      <w:r>
        <w:t>Kaveri Infra Projects Limited, operating in Infrastructure / EPC, has applied for a Cash Credit of ₹20.00 Cr. The proposal is recommended for approval subject to the conditions below. The internal score of 709 (CX4) implies a one-year probability of default of 2.38%. Principal concerns are Collateral coverage 0.80x; Receivable days 161 days; Sector risk 4. These are partly mitigated by Fraud risk score 4; Debt service coverage 1.37x; Promoter sentiment +0.18. We recommend an exposure of ₹12.80 Cr priced at 12.0% p.a., with sizing bound by the security cover.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Credit score</w:t>
            </w:r>
          </w:p>
        </w:tc>
        <w:tc>
          <w:tcPr>
            <w:tcW w:type="dxa" w:w="4320"/>
          </w:tcPr>
          <w:p>
            <w:r>
              <w:t>709 / 900</w:t>
            </w:r>
          </w:p>
        </w:tc>
      </w:tr>
      <w:tr>
        <w:tc>
          <w:tcPr>
            <w:tcW w:type="dxa" w:w="4320"/>
          </w:tcPr>
          <w:p>
            <w:r>
              <w:t>Internal grade</w:t>
            </w:r>
          </w:p>
        </w:tc>
        <w:tc>
          <w:tcPr>
            <w:tcW w:type="dxa" w:w="4320"/>
          </w:tcPr>
          <w:p>
            <w:r>
              <w:t>CX4</w:t>
            </w:r>
          </w:p>
        </w:tc>
      </w:tr>
      <w:tr>
        <w:tc>
          <w:tcPr>
            <w:tcW w:type="dxa" w:w="4320"/>
          </w:tcPr>
          <w:p>
            <w:r>
              <w:t>Risk level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Probability of default (1y)</w:t>
            </w:r>
          </w:p>
        </w:tc>
        <w:tc>
          <w:tcPr>
            <w:tcW w:type="dxa" w:w="4320"/>
          </w:tcPr>
          <w:p>
            <w:r>
              <w:t>2.38%</w:t>
            </w:r>
          </w:p>
        </w:tc>
      </w:tr>
      <w:tr>
        <w:tc>
          <w:tcPr>
            <w:tcW w:type="dxa" w:w="4320"/>
          </w:tcPr>
          <w:p>
            <w:r>
              <w:t>Recommended amount</w:t>
            </w:r>
          </w:p>
        </w:tc>
        <w:tc>
          <w:tcPr>
            <w:tcW w:type="dxa" w:w="4320"/>
          </w:tcPr>
          <w:p>
            <w:r>
              <w:t>₹12.80 Cr</w:t>
            </w:r>
          </w:p>
        </w:tc>
      </w:tr>
      <w:tr>
        <w:tc>
          <w:tcPr>
            <w:tcW w:type="dxa" w:w="4320"/>
          </w:tcPr>
          <w:p>
            <w:r>
              <w:t>Suggested rate</w:t>
            </w:r>
          </w:p>
        </w:tc>
        <w:tc>
          <w:tcPr>
            <w:tcW w:type="dxa" w:w="4320"/>
          </w:tcPr>
          <w:p>
            <w:r>
              <w:t>12.0% p.a.</w:t>
            </w:r>
          </w:p>
        </w:tc>
      </w:tr>
      <w:tr>
        <w:tc>
          <w:tcPr>
            <w:tcW w:type="dxa" w:w="4320"/>
          </w:tcPr>
          <w:p>
            <w:r>
              <w:t>Fraud risk score</w:t>
            </w:r>
          </w:p>
        </w:tc>
        <w:tc>
          <w:tcPr>
            <w:tcW w:type="dxa" w:w="4320"/>
          </w:tcPr>
          <w:p>
            <w:r>
              <w:t>4 / 100</w:t>
            </w:r>
          </w:p>
        </w:tc>
      </w:tr>
      <w:tr>
        <w:tc>
          <w:tcPr>
            <w:tcW w:type="dxa" w:w="4320"/>
          </w:tcPr>
          <w:p>
            <w:r>
              <w:t>Approval likelihood</w:t>
            </w:r>
          </w:p>
        </w:tc>
        <w:tc>
          <w:tcPr>
            <w:tcW w:type="dxa" w:w="4320"/>
          </w:tcPr>
          <w:p>
            <w:r>
              <w:t>82%</w:t>
            </w:r>
          </w:p>
        </w:tc>
      </w:tr>
    </w:tbl>
    <w:p>
      <w:pPr>
        <w:pStyle w:val="Heading1"/>
      </w:pPr>
      <w:r>
        <w:t>2. Borrower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Legal name</w:t>
            </w:r>
          </w:p>
        </w:tc>
        <w:tc>
          <w:tcPr>
            <w:tcW w:type="dxa" w:w="4320"/>
          </w:tcPr>
          <w:p>
            <w:r>
              <w:t>Kaveri Infra Projects Limited</w:t>
            </w:r>
          </w:p>
        </w:tc>
      </w:tr>
      <w:tr>
        <w:tc>
          <w:tcPr>
            <w:tcW w:type="dxa" w:w="4320"/>
          </w:tcPr>
          <w:p>
            <w:r>
              <w:t>Constitution</w:t>
            </w:r>
          </w:p>
        </w:tc>
        <w:tc>
          <w:tcPr>
            <w:tcW w:type="dxa" w:w="4320"/>
          </w:tcPr>
          <w:p>
            <w:r>
              <w:t>Public Limited (Unlisted)</w:t>
            </w:r>
          </w:p>
        </w:tc>
      </w:tr>
      <w:tr>
        <w:tc>
          <w:tcPr>
            <w:tcW w:type="dxa" w:w="4320"/>
          </w:tcPr>
          <w:p>
            <w:r>
              <w:t>CIN</w:t>
            </w:r>
          </w:p>
        </w:tc>
        <w:tc>
          <w:tcPr>
            <w:tcW w:type="dxa" w:w="4320"/>
          </w:tcPr>
          <w:p>
            <w:r>
              <w:t>U45200KA2006PLC038812</w:t>
            </w:r>
          </w:p>
        </w:tc>
      </w:tr>
      <w:tr>
        <w:tc>
          <w:tcPr>
            <w:tcW w:type="dxa" w:w="4320"/>
          </w:tcPr>
          <w:p>
            <w:r>
              <w:t>PAN</w:t>
            </w:r>
          </w:p>
        </w:tc>
        <w:tc>
          <w:tcPr>
            <w:tcW w:type="dxa" w:w="4320"/>
          </w:tcPr>
          <w:p>
            <w:r>
              <w:t>AAECK3390R</w:t>
            </w:r>
          </w:p>
        </w:tc>
      </w:tr>
      <w:tr>
        <w:tc>
          <w:tcPr>
            <w:tcW w:type="dxa" w:w="4320"/>
          </w:tcPr>
          <w:p>
            <w:r>
              <w:t>GSTIN</w:t>
            </w:r>
          </w:p>
        </w:tc>
        <w:tc>
          <w:tcPr>
            <w:tcW w:type="dxa" w:w="4320"/>
          </w:tcPr>
          <w:p>
            <w:r>
              <w:t>29AAECK3390R1ZQ</w:t>
            </w:r>
          </w:p>
        </w:tc>
      </w:tr>
      <w:tr>
        <w:tc>
          <w:tcPr>
            <w:tcW w:type="dxa" w:w="4320"/>
          </w:tcPr>
          <w:p>
            <w:r>
              <w:t>Incorporated</w:t>
            </w:r>
          </w:p>
        </w:tc>
        <w:tc>
          <w:tcPr>
            <w:tcW w:type="dxa" w:w="4320"/>
          </w:tcPr>
          <w:p>
            <w:r>
              <w:t>2006</w:t>
            </w:r>
          </w:p>
        </w:tc>
      </w:tr>
      <w:tr>
        <w:tc>
          <w:tcPr>
            <w:tcW w:type="dxa" w:w="4320"/>
          </w:tcPr>
          <w:p>
            <w:r>
              <w:t>Sector</w:t>
            </w:r>
          </w:p>
        </w:tc>
        <w:tc>
          <w:tcPr>
            <w:tcW w:type="dxa" w:w="4320"/>
          </w:tcPr>
          <w:p>
            <w:r>
              <w:t>Infrastructure / EPC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Bengaluru, Karnataka</w:t>
            </w:r>
          </w:p>
        </w:tc>
      </w:tr>
      <w:tr>
        <w:tc>
          <w:tcPr>
            <w:tcW w:type="dxa" w:w="4320"/>
          </w:tcPr>
          <w:p>
            <w:r>
              <w:t>Promoters / directors</w:t>
            </w:r>
          </w:p>
        </w:tc>
        <w:tc>
          <w:tcPr>
            <w:tcW w:type="dxa" w:w="4320"/>
          </w:tcPr>
          <w:p>
            <w:r>
              <w:t>Venkatesh Gowda (DIN 01455672), Prakash Rao (DIN 01455673)</w:t>
            </w:r>
          </w:p>
        </w:tc>
      </w:tr>
      <w:tr>
        <w:tc>
          <w:tcPr>
            <w:tcW w:type="dxa" w:w="4320"/>
          </w:tcPr>
          <w:p>
            <w:r>
              <w:t>External rating</w:t>
            </w:r>
          </w:p>
        </w:tc>
        <w:tc>
          <w:tcPr>
            <w:tcW w:type="dxa" w:w="4320"/>
          </w:tcPr>
          <w:p>
            <w:r>
              <w:t>BBB/Watch Developing (demo agency)</w:t>
            </w:r>
          </w:p>
        </w:tc>
      </w:tr>
    </w:tbl>
    <w:p>
      <w:pPr>
        <w:pStyle w:val="Heading1"/>
      </w:pPr>
      <w:r>
        <w:t>3. Proposed Facility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Case reference</w:t>
            </w:r>
          </w:p>
        </w:tc>
        <w:tc>
          <w:tcPr>
            <w:tcW w:type="dxa" w:w="4320"/>
          </w:tcPr>
          <w:p>
            <w:r>
              <w:t>CX-2026-0003</w:t>
            </w:r>
          </w:p>
        </w:tc>
      </w:tr>
      <w:tr>
        <w:tc>
          <w:tcPr>
            <w:tcW w:type="dxa" w:w="4320"/>
          </w:tcPr>
          <w:p>
            <w:r>
              <w:t>Facility</w:t>
            </w:r>
          </w:p>
        </w:tc>
        <w:tc>
          <w:tcPr>
            <w:tcW w:type="dxa" w:w="4320"/>
          </w:tcPr>
          <w:p>
            <w:r>
              <w:t>Cash Credit</w:t>
            </w:r>
          </w:p>
        </w:tc>
      </w:tr>
      <w:tr>
        <w:tc>
          <w:tcPr>
            <w:tcW w:type="dxa" w:w="4320"/>
          </w:tcPr>
          <w:p>
            <w:r>
              <w:t>Amount requested</w:t>
            </w:r>
          </w:p>
        </w:tc>
        <w:tc>
          <w:tcPr>
            <w:tcW w:type="dxa" w:w="4320"/>
          </w:tcPr>
          <w:p>
            <w:r>
              <w:t>₹20,00,00,000</w:t>
            </w:r>
          </w:p>
        </w:tc>
      </w:tr>
      <w:tr>
        <w:tc>
          <w:tcPr>
            <w:tcW w:type="dxa" w:w="4320"/>
          </w:tcPr>
          <w:p>
            <w:r>
              <w:t>Tenure</w:t>
            </w:r>
          </w:p>
        </w:tc>
        <w:tc>
          <w:tcPr>
            <w:tcW w:type="dxa" w:w="4320"/>
          </w:tcPr>
          <w:p>
            <w:r>
              <w:t>12 months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Working-capital enhancement for ₹420 crore state highway order</w:t>
            </w:r>
          </w:p>
        </w:tc>
      </w:tr>
      <w:tr>
        <w:tc>
          <w:tcPr>
            <w:tcW w:type="dxa" w:w="4320"/>
          </w:tcPr>
          <w:p>
            <w:r>
              <w:t>Security offered</w:t>
            </w:r>
          </w:p>
        </w:tc>
        <w:tc>
          <w:tcPr>
            <w:tcW w:type="dxa" w:w="4320"/>
          </w:tcPr>
          <w:p>
            <w:r>
              <w:t>Hypothecation of current assets; collateral of commercial property, Jayanagar</w:t>
            </w:r>
          </w:p>
        </w:tc>
      </w:tr>
      <w:tr>
        <w:tc>
          <w:tcPr>
            <w:tcW w:type="dxa" w:w="4320"/>
          </w:tcPr>
          <w:p>
            <w:r>
              <w:t>Security value</w:t>
            </w:r>
          </w:p>
        </w:tc>
        <w:tc>
          <w:tcPr>
            <w:tcW w:type="dxa" w:w="4320"/>
          </w:tcPr>
          <w:p>
            <w:r>
              <w:t>₹16.00 Cr</w:t>
            </w:r>
          </w:p>
        </w:tc>
      </w:tr>
    </w:tbl>
    <w:p>
      <w:pPr>
        <w:pStyle w:val="Heading1"/>
      </w:pPr>
      <w:r>
        <w:t>4. Financial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FY23</w:t>
            </w:r>
          </w:p>
        </w:tc>
        <w:tc>
          <w:tcPr>
            <w:tcW w:type="dxa" w:w="2160"/>
          </w:tcPr>
          <w:p>
            <w:r>
              <w:t>FY24</w:t>
            </w:r>
          </w:p>
        </w:tc>
        <w:tc>
          <w:tcPr>
            <w:tcW w:type="dxa" w:w="2160"/>
          </w:tcPr>
          <w:p>
            <w:r>
              <w:t>FY25</w:t>
            </w:r>
          </w:p>
        </w:tc>
      </w:tr>
      <w:tr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₹108.00 Cr</w:t>
            </w:r>
          </w:p>
        </w:tc>
        <w:tc>
          <w:tcPr>
            <w:tcW w:type="dxa" w:w="2160"/>
          </w:tcPr>
          <w:p>
            <w:r>
              <w:t>₹121.00 Cr</w:t>
            </w:r>
          </w:p>
        </w:tc>
        <w:tc>
          <w:tcPr>
            <w:tcW w:type="dxa" w:w="2160"/>
          </w:tcPr>
          <w:p>
            <w:r>
              <w:t>₹138.00 Cr</w:t>
            </w:r>
          </w:p>
        </w:tc>
      </w:tr>
      <w:tr>
        <w:tc>
          <w:tcPr>
            <w:tcW w:type="dxa" w:w="2160"/>
          </w:tcPr>
          <w:p>
            <w:r>
              <w:t>EBITDA</w:t>
            </w:r>
          </w:p>
        </w:tc>
        <w:tc>
          <w:tcPr>
            <w:tcW w:type="dxa" w:w="2160"/>
          </w:tcPr>
          <w:p>
            <w:r>
              <w:t>₹13.40 Cr</w:t>
            </w:r>
          </w:p>
        </w:tc>
        <w:tc>
          <w:tcPr>
            <w:tcW w:type="dxa" w:w="2160"/>
          </w:tcPr>
          <w:p>
            <w:r>
              <w:t>₹15.10 Cr</w:t>
            </w:r>
          </w:p>
        </w:tc>
        <w:tc>
          <w:tcPr>
            <w:tcW w:type="dxa" w:w="2160"/>
          </w:tcPr>
          <w:p>
            <w:r>
              <w:t>₹17.90 Cr</w:t>
            </w:r>
          </w:p>
        </w:tc>
      </w:tr>
      <w:tr>
        <w:tc>
          <w:tcPr>
            <w:tcW w:type="dxa" w:w="2160"/>
          </w:tcPr>
          <w:p>
            <w:r>
              <w:t>EBITDA margin</w:t>
            </w:r>
          </w:p>
        </w:tc>
        <w:tc>
          <w:tcPr>
            <w:tcW w:type="dxa" w:w="2160"/>
          </w:tcPr>
          <w:p>
            <w:r>
              <w:t>12.4%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13.0%</w:t>
            </w:r>
          </w:p>
        </w:tc>
      </w:tr>
      <w:tr>
        <w:tc>
          <w:tcPr>
            <w:tcW w:type="dxa" w:w="2160"/>
          </w:tcPr>
          <w:p>
            <w:r>
              <w:t>PAT</w:t>
            </w:r>
          </w:p>
        </w:tc>
        <w:tc>
          <w:tcPr>
            <w:tcW w:type="dxa" w:w="2160"/>
          </w:tcPr>
          <w:p>
            <w:r>
              <w:t>₹3.20 Cr</w:t>
            </w:r>
          </w:p>
        </w:tc>
        <w:tc>
          <w:tcPr>
            <w:tcW w:type="dxa" w:w="2160"/>
          </w:tcPr>
          <w:p>
            <w:r>
              <w:t>₹3.90 Cr</w:t>
            </w:r>
          </w:p>
        </w:tc>
        <w:tc>
          <w:tcPr>
            <w:tcW w:type="dxa" w:w="2160"/>
          </w:tcPr>
          <w:p>
            <w:r>
              <w:t>₹4.80 Cr</w:t>
            </w:r>
          </w:p>
        </w:tc>
      </w:tr>
      <w:tr>
        <w:tc>
          <w:tcPr>
            <w:tcW w:type="dxa" w:w="2160"/>
          </w:tcPr>
          <w:p>
            <w:r>
              <w:t>Revenue growth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12.0%</w:t>
            </w:r>
          </w:p>
        </w:tc>
        <w:tc>
          <w:tcPr>
            <w:tcW w:type="dxa" w:w="2160"/>
          </w:tcPr>
          <w:p>
            <w:r>
              <w:t>14.1%</w:t>
            </w:r>
          </w:p>
        </w:tc>
      </w:tr>
      <w:tr>
        <w:tc>
          <w:tcPr>
            <w:tcW w:type="dxa" w:w="2160"/>
          </w:tcPr>
          <w:p>
            <w:r>
              <w:t>Total debt</w:t>
            </w:r>
          </w:p>
        </w:tc>
        <w:tc>
          <w:tcPr>
            <w:tcW w:type="dxa" w:w="2160"/>
          </w:tcPr>
          <w:p>
            <w:r>
              <w:t>₹65.00 Cr</w:t>
            </w:r>
          </w:p>
        </w:tc>
        <w:tc>
          <w:tcPr>
            <w:tcW w:type="dxa" w:w="2160"/>
          </w:tcPr>
          <w:p>
            <w:r>
              <w:t>₹68.00 Cr</w:t>
            </w:r>
          </w:p>
        </w:tc>
        <w:tc>
          <w:tcPr>
            <w:tcW w:type="dxa" w:w="2160"/>
          </w:tcPr>
          <w:p>
            <w:r>
              <w:t>₹68.00 Cr</w:t>
            </w:r>
          </w:p>
        </w:tc>
      </w:tr>
      <w:tr>
        <w:tc>
          <w:tcPr>
            <w:tcW w:type="dxa" w:w="2160"/>
          </w:tcPr>
          <w:p>
            <w:r>
              <w:t>Net worth</w:t>
            </w:r>
          </w:p>
        </w:tc>
        <w:tc>
          <w:tcPr>
            <w:tcW w:type="dxa" w:w="2160"/>
          </w:tcPr>
          <w:p>
            <w:r>
              <w:t>₹49.00 Cr</w:t>
            </w:r>
          </w:p>
        </w:tc>
        <w:tc>
          <w:tcPr>
            <w:tcW w:type="dxa" w:w="2160"/>
          </w:tcPr>
          <w:p>
            <w:r>
              <w:t>₹53.00 Cr</w:t>
            </w:r>
          </w:p>
        </w:tc>
        <w:tc>
          <w:tcPr>
            <w:tcW w:type="dxa" w:w="2160"/>
          </w:tcPr>
          <w:p>
            <w:r>
              <w:t>₹58.00 Cr</w:t>
            </w:r>
          </w:p>
        </w:tc>
      </w:tr>
      <w:tr>
        <w:tc>
          <w:tcPr>
            <w:tcW w:type="dxa" w:w="2160"/>
          </w:tcPr>
          <w:p>
            <w:r>
              <w:t>Debt / EBITDA</w:t>
            </w:r>
          </w:p>
        </w:tc>
        <w:tc>
          <w:tcPr>
            <w:tcW w:type="dxa" w:w="2160"/>
          </w:tcPr>
          <w:p>
            <w:r>
              <w:t>4.85x</w:t>
            </w:r>
          </w:p>
        </w:tc>
        <w:tc>
          <w:tcPr>
            <w:tcW w:type="dxa" w:w="2160"/>
          </w:tcPr>
          <w:p>
            <w:r>
              <w:t>4.50x</w:t>
            </w:r>
          </w:p>
        </w:tc>
        <w:tc>
          <w:tcPr>
            <w:tcW w:type="dxa" w:w="2160"/>
          </w:tcPr>
          <w:p>
            <w:r>
              <w:t>3.80x</w:t>
            </w:r>
          </w:p>
        </w:tc>
      </w:tr>
      <w:tr>
        <w:tc>
          <w:tcPr>
            <w:tcW w:type="dxa" w:w="2160"/>
          </w:tcPr>
          <w:p>
            <w:r>
              <w:t>Debt / Equity</w:t>
            </w:r>
          </w:p>
        </w:tc>
        <w:tc>
          <w:tcPr>
            <w:tcW w:type="dxa" w:w="2160"/>
          </w:tcPr>
          <w:p>
            <w:r>
              <w:t>1.33x</w:t>
            </w:r>
          </w:p>
        </w:tc>
        <w:tc>
          <w:tcPr>
            <w:tcW w:type="dxa" w:w="2160"/>
          </w:tcPr>
          <w:p>
            <w:r>
              <w:t>1.28x</w:t>
            </w:r>
          </w:p>
        </w:tc>
        <w:tc>
          <w:tcPr>
            <w:tcW w:type="dxa" w:w="2160"/>
          </w:tcPr>
          <w:p>
            <w:r>
              <w:t>1.17x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2.23x</w:t>
            </w:r>
          </w:p>
        </w:tc>
        <w:tc>
          <w:tcPr>
            <w:tcW w:type="dxa" w:w="2160"/>
          </w:tcPr>
          <w:p>
            <w:r>
              <w:t>1.11x</w:t>
            </w:r>
          </w:p>
        </w:tc>
        <w:tc>
          <w:tcPr>
            <w:tcW w:type="dxa" w:w="2160"/>
          </w:tcPr>
          <w:p>
            <w:r>
              <w:t>1.37x</w:t>
            </w:r>
          </w:p>
        </w:tc>
      </w:tr>
      <w:tr>
        <w:tc>
          <w:tcPr>
            <w:tcW w:type="dxa" w:w="2160"/>
          </w:tcPr>
          <w:p>
            <w:r>
              <w:t>Interest coverage</w:t>
            </w:r>
          </w:p>
        </w:tc>
        <w:tc>
          <w:tcPr>
            <w:tcW w:type="dxa" w:w="2160"/>
          </w:tcPr>
          <w:p>
            <w:r>
              <w:t>2.23x</w:t>
            </w:r>
          </w:p>
        </w:tc>
        <w:tc>
          <w:tcPr>
            <w:tcW w:type="dxa" w:w="2160"/>
          </w:tcPr>
          <w:p>
            <w:r>
              <w:t>2.29x</w:t>
            </w:r>
          </w:p>
        </w:tc>
        <w:tc>
          <w:tcPr>
            <w:tcW w:type="dxa" w:w="2160"/>
          </w:tcPr>
          <w:p>
            <w:r>
              <w:t>2.52x</w:t>
            </w:r>
          </w:p>
        </w:tc>
      </w:tr>
      <w:tr>
        <w:tc>
          <w:tcPr>
            <w:tcW w:type="dxa" w:w="2160"/>
          </w:tcPr>
          <w:p>
            <w:r>
              <w:t>Current ratio</w:t>
            </w:r>
          </w:p>
        </w:tc>
        <w:tc>
          <w:tcPr>
            <w:tcW w:type="dxa" w:w="2160"/>
          </w:tcPr>
          <w:p>
            <w:r>
              <w:t>1.21x</w:t>
            </w:r>
          </w:p>
        </w:tc>
        <w:tc>
          <w:tcPr>
            <w:tcW w:type="dxa" w:w="2160"/>
          </w:tcPr>
          <w:p>
            <w:r>
              <w:t>1.24x</w:t>
            </w:r>
          </w:p>
        </w:tc>
        <w:tc>
          <w:tcPr>
            <w:tcW w:type="dxa" w:w="2160"/>
          </w:tcPr>
          <w:p>
            <w:r>
              <w:t>1.26x</w:t>
            </w:r>
          </w:p>
        </w:tc>
      </w:tr>
      <w:tr>
        <w:tc>
          <w:tcPr>
            <w:tcW w:type="dxa" w:w="2160"/>
          </w:tcPr>
          <w:p>
            <w:r>
              <w:t>Receivable days</w:t>
            </w:r>
          </w:p>
        </w:tc>
        <w:tc>
          <w:tcPr>
            <w:tcW w:type="dxa" w:w="2160"/>
          </w:tcPr>
          <w:p>
            <w:r>
              <w:t>145</w:t>
            </w:r>
          </w:p>
        </w:tc>
        <w:tc>
          <w:tcPr>
            <w:tcW w:type="dxa" w:w="2160"/>
          </w:tcPr>
          <w:p>
            <w:r>
              <w:t>151</w:t>
            </w:r>
          </w:p>
        </w:tc>
        <w:tc>
          <w:tcPr>
            <w:tcW w:type="dxa" w:w="2160"/>
          </w:tcPr>
          <w:p>
            <w:r>
              <w:t>161</w:t>
            </w:r>
          </w:p>
        </w:tc>
      </w:tr>
    </w:tbl>
    <w:p>
      <w:r>
        <w:rPr>
          <w:i/>
        </w:rPr>
        <w:t>Figures extracted from uploaded statements; each value carries document/page provenance in CredX.</w:t>
      </w:r>
    </w:p>
    <w:p>
      <w:pPr>
        <w:pStyle w:val="Heading1"/>
      </w:pPr>
      <w:r>
        <w:t>5. Banking Conduct &amp; GST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Detail</w:t>
            </w:r>
          </w:p>
        </w:tc>
      </w:tr>
      <w:tr>
        <w:tc>
          <w:tcPr>
            <w:tcW w:type="dxa" w:w="2880"/>
          </w:tcPr>
          <w:p>
            <w:r>
              <w:t>GSTR-2A/2B vs GSTR-3B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3B ₹138.00 Cr vs 2A/2B ₹135.40 Cr — variance 1.9% (tolerance 5%).</w:t>
            </w:r>
          </w:p>
        </w:tc>
      </w:tr>
      <w:tr>
        <w:tc>
          <w:tcPr>
            <w:tcW w:type="dxa" w:w="2880"/>
          </w:tcPr>
          <w:p>
            <w:r>
              <w:t>GSTR-1 vs GSTR-3B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Outward supplies declared ₹137.10 Cr vs tax paid on ₹138.00 Cr (0.7%).</w:t>
            </w:r>
          </w:p>
        </w:tc>
      </w:tr>
      <w:tr>
        <w:tc>
          <w:tcPr>
            <w:tcW w:type="dxa" w:w="2880"/>
          </w:tcPr>
          <w:p>
            <w:r>
              <w:t>Bank credits vs GST turnover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Annualised bank credits ₹165.22 Cr are 101% of GST turnover incl. tax.</w:t>
            </w:r>
          </w:p>
        </w:tc>
      </w:tr>
      <w:tr>
        <w:tc>
          <w:tcPr>
            <w:tcW w:type="dxa" w:w="2880"/>
          </w:tcPr>
          <w:p>
            <w:r>
              <w:t>Book revenue vs GST turnover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Financial-statement revenue ₹138.00 Cr vs GST turnover ₹138.00 Cr (0.0%).</w:t>
            </w:r>
          </w:p>
        </w:tc>
      </w:tr>
      <w:tr>
        <w:tc>
          <w:tcPr>
            <w:tcW w:type="dxa" w:w="2880"/>
          </w:tcPr>
          <w:p>
            <w:r>
              <w:t>Return filing timeliness</w:t>
            </w:r>
          </w:p>
        </w:tc>
        <w:tc>
          <w:tcPr>
            <w:tcW w:type="dxa" w:w="2880"/>
          </w:tcPr>
          <w:p>
            <w:r>
              <w:t>WARN</w:t>
            </w:r>
          </w:p>
        </w:tc>
        <w:tc>
          <w:tcPr>
            <w:tcW w:type="dxa" w:w="2880"/>
          </w:tcPr>
          <w:p>
            <w:r>
              <w:t>Returns filed up to 5 days late.</w:t>
            </w:r>
          </w:p>
        </w:tc>
      </w:tr>
      <w:tr>
        <w:tc>
          <w:tcPr>
            <w:tcW w:type="dxa" w:w="2880"/>
          </w:tcPr>
          <w:p>
            <w:r>
              <w:t>GSTIN validity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1 GSTIN(s) pass checksum and state-code validation.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Statement</w:t>
            </w:r>
          </w:p>
        </w:tc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Credits</w:t>
            </w:r>
          </w:p>
        </w:tc>
        <w:tc>
          <w:tcPr>
            <w:tcW w:type="dxa" w:w="1440"/>
          </w:tcPr>
          <w:p>
            <w:r>
              <w:t>Closing bal.</w:t>
            </w:r>
          </w:p>
        </w:tc>
        <w:tc>
          <w:tcPr>
            <w:tcW w:type="dxa" w:w="1440"/>
          </w:tcPr>
          <w:p>
            <w:r>
              <w:t>Bounces</w:t>
            </w:r>
          </w:p>
        </w:tc>
        <w:tc>
          <w:tcPr>
            <w:tcW w:type="dxa" w:w="1440"/>
          </w:tcPr>
          <w:p>
            <w:r>
              <w:t>Overdrawn days</w:t>
            </w:r>
          </w:p>
        </w:tc>
      </w:tr>
      <w:tr>
        <w:tc>
          <w:tcPr>
            <w:tcW w:type="dxa" w:w="1440"/>
          </w:tcPr>
          <w:p>
            <w:r>
              <w:t>bank_statement_Oct24-Mar25.pdf</w:t>
            </w:r>
          </w:p>
        </w:tc>
        <w:tc>
          <w:tcPr>
            <w:tcW w:type="dxa" w:w="1440"/>
          </w:tcPr>
          <w:p>
            <w:r>
              <w:t>XXXX9876</w:t>
            </w:r>
          </w:p>
        </w:tc>
        <w:tc>
          <w:tcPr>
            <w:tcW w:type="dxa" w:w="1440"/>
          </w:tcPr>
          <w:p>
            <w:r>
              <w:t>₹82.61 Cr</w:t>
            </w:r>
          </w:p>
        </w:tc>
        <w:tc>
          <w:tcPr>
            <w:tcW w:type="dxa" w:w="1440"/>
          </w:tcPr>
          <w:p>
            <w:r>
              <w:t>₹5.78 Cr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</w:tbl>
    <w:p>
      <w:pPr>
        <w:pStyle w:val="Heading1"/>
      </w:pPr>
      <w:r>
        <w:t>6. Promoter, Litigation &amp; Market Intelligence</w:t>
      </w:r>
    </w:p>
    <w:p>
      <w:r>
        <w:t>5 external items were reviewed for Kaveri Infra Projects Limited; overall promoter/company sentiment is positive. Adverse coverage: Delayed government payments stretch working capital at mid-size EPC contractors [3]. Supportive developments: Kaveri Infra Projects wins ₹420 crore state highway package [1]; Arbitral tribunal awards ₹62 crore to Kaveri Infra in claim against state authority [2]. Litigation exposure is low (score 9/100 across 3 matter(s)). Sector view (Infrastructure / EPC): outlook stable; key headwind — delayed government payments and stretched receivables.</w:t>
      </w:r>
    </w:p>
    <w:p>
      <w:pPr>
        <w:pStyle w:val="ListBullet"/>
      </w:pPr>
      <w:r>
        <w:t>Litigation risk: LOW</w:t>
      </w:r>
    </w:p>
    <w:p>
      <w:pPr>
        <w:pStyle w:val="ListBullet"/>
      </w:pPr>
      <w:r>
        <w:t>Promoter sentiment: POSITIVE</w:t>
      </w:r>
    </w:p>
    <w:p>
      <w:pPr>
        <w:pStyle w:val="ListBullet"/>
      </w:pPr>
      <w:r>
        <w:t>Sector outlook: STABLE</w:t>
      </w:r>
    </w:p>
    <w:p>
      <w:pPr>
        <w:pStyle w:val="ListBullet"/>
      </w:pPr>
      <w:r>
        <w:t>Overall external risk: LOW</w:t>
      </w:r>
    </w:p>
    <w:p>
      <w:pPr>
        <w:pStyle w:val="ListBullet"/>
      </w:pPr>
      <w:r>
        <w:t>[LOW] Kaveri Infra Projects wins ₹420 crore state highway package — Infra Dispatch (demo) (demo data)</w:t>
      </w:r>
    </w:p>
    <w:p>
      <w:pPr>
        <w:pStyle w:val="ListBullet"/>
      </w:pPr>
      <w:r>
        <w:t>[LOW] Arbitral tribunal awards ₹62 crore to Kaveri Infra in claim against state authority — Infra Dispatch (demo) (demo data)</w:t>
      </w:r>
    </w:p>
    <w:p>
      <w:pPr>
        <w:pStyle w:val="ListBullet"/>
      </w:pPr>
      <w:r>
        <w:t>[MEDIUM] Delayed government payments stretch working capital at mid-size EPC contractors — Karnataka Finance Review (demo) (demo data)</w:t>
      </w:r>
    </w:p>
    <w:p>
      <w:pPr>
        <w:pStyle w:val="ListBullet"/>
      </w:pPr>
      <w:r>
        <w:t>[LOW] Kaveri Infra rating placed on watch with developing implications — Rating Desk India (demo) (demo data)</w:t>
      </w:r>
    </w:p>
    <w:p>
      <w:pPr>
        <w:pStyle w:val="ListBullet"/>
      </w:pPr>
      <w:r>
        <w:t>[LOW] Borrower-initiated: Commercial arbitration — pending (claim ₹62.00 Cr) — Uploaded document: legal_notice_1.pdf</w:t>
      </w:r>
    </w:p>
    <w:p>
      <w:pPr>
        <w:pStyle w:val="Heading1"/>
      </w:pPr>
      <w:r>
        <w:t>7. Sector &amp; Regulatory Conditions</w:t>
      </w:r>
    </w:p>
    <w:p>
      <w:r>
        <w:t>Infrastructure / EPC — outlook STABLE, sector risk band 4/5 (knowledge base 2026.10).</w:t>
      </w:r>
    </w:p>
    <w:p>
      <w:r>
        <w:rPr>
          <w:b/>
        </w:rPr>
        <w:t>Headwinds</w:t>
      </w:r>
    </w:p>
    <w:p>
      <w:pPr>
        <w:pStyle w:val="ListBullet"/>
      </w:pPr>
      <w:r>
        <w:t>Delayed government payments and stretched receivables</w:t>
      </w:r>
    </w:p>
    <w:p>
      <w:pPr>
        <w:pStyle w:val="ListBullet"/>
      </w:pPr>
      <w:r>
        <w:t>Arbitration-locked claims</w:t>
      </w:r>
    </w:p>
    <w:p>
      <w:pPr>
        <w:pStyle w:val="ListBullet"/>
      </w:pPr>
      <w:r>
        <w:t>Commodity cost escalation on fixed-price contracts</w:t>
      </w:r>
    </w:p>
    <w:p>
      <w:r>
        <w:rPr>
          <w:b/>
        </w:rPr>
        <w:t>Tailwinds</w:t>
      </w:r>
    </w:p>
    <w:p>
      <w:pPr>
        <w:pStyle w:val="ListBullet"/>
      </w:pPr>
      <w:r>
        <w:t>Record central capex allocation</w:t>
      </w:r>
    </w:p>
    <w:p>
      <w:pPr>
        <w:pStyle w:val="ListBullet"/>
      </w:pPr>
      <w:r>
        <w:t>National Infrastructure Pipeline and PM Gati Shakti</w:t>
      </w:r>
    </w:p>
    <w:p>
      <w:pPr>
        <w:pStyle w:val="ListBullet"/>
      </w:pPr>
      <w:r>
        <w:t>Settlement schemes for stuck contractor claims</w:t>
      </w:r>
    </w:p>
    <w:p>
      <w:r>
        <w:rPr>
          <w:b/>
        </w:rPr>
        <w:t>RBI / regulatory context</w:t>
      </w:r>
    </w:p>
    <w:p>
      <w:pPr>
        <w:pStyle w:val="ListBullet"/>
      </w:pPr>
      <w:r>
        <w:t>RBI prudential framework for project finance (2025) — stage-wise provisioning for under-construction exposures</w:t>
      </w:r>
    </w:p>
    <w:p>
      <w:pPr>
        <w:pStyle w:val="ListBullet"/>
      </w:pPr>
      <w:r>
        <w:t>DCCO extensions must follow RBI restructuring guidelines</w:t>
      </w:r>
    </w:p>
    <w:p>
      <w:pPr>
        <w:pStyle w:val="ListBullet"/>
      </w:pPr>
      <w:r>
        <w:t>Bank guarantee exposure counts toward non-fund-based limits</w:t>
      </w:r>
    </w:p>
    <w:p>
      <w:pPr>
        <w:pStyle w:val="Heading1"/>
      </w:pPr>
      <w:r>
        <w:t>8. Fraud &amp; Forensic Observations</w:t>
      </w:r>
    </w:p>
    <w:p>
      <w:r>
        <w:t>Fraud risk score 4/100 (LOW). Graph of 6 companies and 7 relationships analysed. No circular trading loops found. GST reconciliation within tolerance.</w:t>
      </w:r>
    </w:p>
    <w:p>
      <w:pPr>
        <w:pStyle w:val="ListBullet"/>
      </w:pPr>
      <w:r>
        <w:t>No graph or GST forensic alerts.</w:t>
      </w:r>
    </w:p>
    <w:p>
      <w:pPr>
        <w:pStyle w:val="Heading1"/>
      </w:pPr>
      <w:r>
        <w:t>9. Five Cs of Credit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Assessment</w:t>
            </w:r>
          </w:p>
        </w:tc>
        <w:tc>
          <w:tcPr>
            <w:tcW w:type="dxa" w:w="2160"/>
          </w:tcPr>
          <w:p>
            <w:r>
              <w:t>Key evidence</w:t>
            </w:r>
          </w:p>
        </w:tc>
      </w:tr>
      <w:tr>
        <w:tc>
          <w:tcPr>
            <w:tcW w:type="dxa" w:w="2160"/>
          </w:tcPr>
          <w:p>
            <w:r>
              <w:t>Character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Strong</w:t>
            </w:r>
          </w:p>
        </w:tc>
        <w:tc>
          <w:tcPr>
            <w:tcW w:type="dxa" w:w="2160"/>
          </w:tcPr>
          <w:p>
            <w:r>
              <w:t>Fraud risk score: 4 (+19 pts); Promoter sentiment: +0.18 (+10 pts); Cheque/ECS bounces: 0 (+8 pts)</w:t>
            </w:r>
          </w:p>
        </w:tc>
      </w:tr>
      <w:tr>
        <w:tc>
          <w:tcPr>
            <w:tcW w:type="dxa" w:w="2160"/>
          </w:tcPr>
          <w:p>
            <w:r>
              <w:t>Capacity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Adequate</w:t>
            </w:r>
          </w:p>
        </w:tc>
        <w:tc>
          <w:tcPr>
            <w:tcW w:type="dxa" w:w="2160"/>
          </w:tcPr>
          <w:p>
            <w:r>
              <w:t>Debt service coverage: 1.37x (+10 pts); Interest coverage: 2.52x (+7 pts); Receivable days: 161 days (-6 pts)</w:t>
            </w:r>
          </w:p>
        </w:tc>
      </w:tr>
      <w:tr>
        <w:tc>
          <w:tcPr>
            <w:tcW w:type="dxa" w:w="2160"/>
          </w:tcPr>
          <w:p>
            <w:r>
              <w:t>Capital</w:t>
            </w:r>
          </w:p>
        </w:tc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Weak</w:t>
            </w:r>
          </w:p>
        </w:tc>
        <w:tc>
          <w:tcPr>
            <w:tcW w:type="dxa" w:w="2160"/>
          </w:tcPr>
          <w:p>
            <w:r>
              <w:t>Promoter pledge: 18.0% (+3 pts); Debt / equity: 1.17x (+2 pts); Debt / EBITDA: 3.80x (-1 pts)</w:t>
            </w:r>
          </w:p>
        </w:tc>
      </w:tr>
      <w:tr>
        <w:tc>
          <w:tcPr>
            <w:tcW w:type="dxa" w:w="2160"/>
          </w:tcPr>
          <w:p>
            <w:r>
              <w:t>Collateral</w:t>
            </w:r>
          </w:p>
        </w:tc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Weak</w:t>
            </w:r>
          </w:p>
        </w:tc>
        <w:tc>
          <w:tcPr>
            <w:tcW w:type="dxa" w:w="2160"/>
          </w:tcPr>
          <w:p>
            <w:r>
              <w:t>Offered security: Hypothecation of current assets; collateral of commercial property, Jayanagar; Collateral coverage: 0.80x (-7 pts)</w:t>
            </w:r>
          </w:p>
        </w:tc>
      </w:tr>
      <w:tr>
        <w:tc>
          <w:tcPr>
            <w:tcW w:type="dxa" w:w="2160"/>
          </w:tcPr>
          <w:p>
            <w:r>
              <w:t>Conditions</w:t>
            </w:r>
          </w:p>
        </w:tc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Weak</w:t>
            </w:r>
          </w:p>
        </w:tc>
        <w:tc>
          <w:tcPr>
            <w:tcW w:type="dxa" w:w="2160"/>
          </w:tcPr>
          <w:p>
            <w:r>
              <w:t>Revenue growth: 14.1% (+7 pts); Sector risk: 4 (-4 pts); Sector: Infrastructure / EPC — outlook STABLE</w:t>
            </w:r>
          </w:p>
        </w:tc>
      </w:tr>
    </w:tbl>
    <w:p>
      <w:pPr>
        <w:pStyle w:val="Heading1"/>
      </w:pPr>
      <w:r>
        <w:t>10. Risk Rating &amp; Explainability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Driver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Score impact</w:t>
            </w:r>
          </w:p>
        </w:tc>
        <w:tc>
          <w:tcPr>
            <w:tcW w:type="dxa" w:w="2160"/>
          </w:tcPr>
          <w:p>
            <w:r>
              <w:t>Five C</w:t>
            </w:r>
          </w:p>
        </w:tc>
      </w:tr>
      <w:tr>
        <w:tc>
          <w:tcPr>
            <w:tcW w:type="dxa" w:w="2160"/>
          </w:tcPr>
          <w:p>
            <w:r>
              <w:t>Fraud risk score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+19</w:t>
            </w:r>
          </w:p>
        </w:tc>
        <w:tc>
          <w:tcPr>
            <w:tcW w:type="dxa" w:w="2160"/>
          </w:tcPr>
          <w:p>
            <w:r>
              <w:t>Character</w:t>
            </w:r>
          </w:p>
        </w:tc>
      </w:tr>
      <w:tr>
        <w:tc>
          <w:tcPr>
            <w:tcW w:type="dxa" w:w="2160"/>
          </w:tcPr>
          <w:p>
            <w:r>
              <w:t>Debt service coverage</w:t>
            </w:r>
          </w:p>
        </w:tc>
        <w:tc>
          <w:tcPr>
            <w:tcW w:type="dxa" w:w="2160"/>
          </w:tcPr>
          <w:p>
            <w:r>
              <w:t>1.37x</w:t>
            </w:r>
          </w:p>
        </w:tc>
        <w:tc>
          <w:tcPr>
            <w:tcW w:type="dxa" w:w="2160"/>
          </w:tcPr>
          <w:p>
            <w:r>
              <w:t>+10</w:t>
            </w:r>
          </w:p>
        </w:tc>
        <w:tc>
          <w:tcPr>
            <w:tcW w:type="dxa" w:w="2160"/>
          </w:tcPr>
          <w:p>
            <w:r>
              <w:t>Capacity</w:t>
            </w:r>
          </w:p>
        </w:tc>
      </w:tr>
      <w:tr>
        <w:tc>
          <w:tcPr>
            <w:tcW w:type="dxa" w:w="2160"/>
          </w:tcPr>
          <w:p>
            <w:r>
              <w:t>Promoter sentiment</w:t>
            </w:r>
          </w:p>
        </w:tc>
        <w:tc>
          <w:tcPr>
            <w:tcW w:type="dxa" w:w="2160"/>
          </w:tcPr>
          <w:p>
            <w:r>
              <w:t>+0.18</w:t>
            </w:r>
          </w:p>
        </w:tc>
        <w:tc>
          <w:tcPr>
            <w:tcW w:type="dxa" w:w="2160"/>
          </w:tcPr>
          <w:p>
            <w:r>
              <w:t>+10</w:t>
            </w:r>
          </w:p>
        </w:tc>
        <w:tc>
          <w:tcPr>
            <w:tcW w:type="dxa" w:w="2160"/>
          </w:tcPr>
          <w:p>
            <w:r>
              <w:t>Character</w:t>
            </w:r>
          </w:p>
        </w:tc>
      </w:tr>
      <w:tr>
        <w:tc>
          <w:tcPr>
            <w:tcW w:type="dxa" w:w="2160"/>
          </w:tcPr>
          <w:p>
            <w:r>
              <w:t>Cheque/ECS bounces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+8</w:t>
            </w:r>
          </w:p>
        </w:tc>
        <w:tc>
          <w:tcPr>
            <w:tcW w:type="dxa" w:w="2160"/>
          </w:tcPr>
          <w:p>
            <w:r>
              <w:t>Character</w:t>
            </w:r>
          </w:p>
        </w:tc>
      </w:tr>
      <w:tr>
        <w:tc>
          <w:tcPr>
            <w:tcW w:type="dxa" w:w="2160"/>
          </w:tcPr>
          <w:p>
            <w:r>
              <w:t>Interest coverage</w:t>
            </w:r>
          </w:p>
        </w:tc>
        <w:tc>
          <w:tcPr>
            <w:tcW w:type="dxa" w:w="2160"/>
          </w:tcPr>
          <w:p>
            <w:r>
              <w:t>2.52x</w:t>
            </w:r>
          </w:p>
        </w:tc>
        <w:tc>
          <w:tcPr>
            <w:tcW w:type="dxa" w:w="2160"/>
          </w:tcPr>
          <w:p>
            <w:r>
              <w:t>+7</w:t>
            </w:r>
          </w:p>
        </w:tc>
        <w:tc>
          <w:tcPr>
            <w:tcW w:type="dxa" w:w="2160"/>
          </w:tcPr>
          <w:p>
            <w:r>
              <w:t>Capacity</w:t>
            </w:r>
          </w:p>
        </w:tc>
      </w:tr>
      <w:tr>
        <w:tc>
          <w:tcPr>
            <w:tcW w:type="dxa" w:w="2160"/>
          </w:tcPr>
          <w:p>
            <w:r>
              <w:t>Revenue growth</w:t>
            </w:r>
          </w:p>
        </w:tc>
        <w:tc>
          <w:tcPr>
            <w:tcW w:type="dxa" w:w="2160"/>
          </w:tcPr>
          <w:p>
            <w:r>
              <w:t>14.1%</w:t>
            </w:r>
          </w:p>
        </w:tc>
        <w:tc>
          <w:tcPr>
            <w:tcW w:type="dxa" w:w="2160"/>
          </w:tcPr>
          <w:p>
            <w:r>
              <w:t>+7</w:t>
            </w:r>
          </w:p>
        </w:tc>
        <w:tc>
          <w:tcPr>
            <w:tcW w:type="dxa" w:w="2160"/>
          </w:tcPr>
          <w:p>
            <w:r>
              <w:t>Conditions</w:t>
            </w:r>
          </w:p>
        </w:tc>
      </w:tr>
      <w:tr>
        <w:tc>
          <w:tcPr>
            <w:tcW w:type="dxa" w:w="2160"/>
          </w:tcPr>
          <w:p>
            <w:r>
              <w:t>Collateral coverage</w:t>
            </w:r>
          </w:p>
        </w:tc>
        <w:tc>
          <w:tcPr>
            <w:tcW w:type="dxa" w:w="2160"/>
          </w:tcPr>
          <w:p>
            <w:r>
              <w:t>0.80x</w:t>
            </w:r>
          </w:p>
        </w:tc>
        <w:tc>
          <w:tcPr>
            <w:tcW w:type="dxa" w:w="2160"/>
          </w:tcPr>
          <w:p>
            <w:r>
              <w:t>-7</w:t>
            </w:r>
          </w:p>
        </w:tc>
        <w:tc>
          <w:tcPr>
            <w:tcW w:type="dxa" w:w="2160"/>
          </w:tcPr>
          <w:p>
            <w:r>
              <w:t>Collateral</w:t>
            </w:r>
          </w:p>
        </w:tc>
      </w:tr>
      <w:tr>
        <w:tc>
          <w:tcPr>
            <w:tcW w:type="dxa" w:w="2160"/>
          </w:tcPr>
          <w:p>
            <w:r>
              <w:t>Receivable days</w:t>
            </w:r>
          </w:p>
        </w:tc>
        <w:tc>
          <w:tcPr>
            <w:tcW w:type="dxa" w:w="2160"/>
          </w:tcPr>
          <w:p>
            <w:r>
              <w:t>161 days</w:t>
            </w:r>
          </w:p>
        </w:tc>
        <w:tc>
          <w:tcPr>
            <w:tcW w:type="dxa" w:w="2160"/>
          </w:tcPr>
          <w:p>
            <w:r>
              <w:t>-6</w:t>
            </w:r>
          </w:p>
        </w:tc>
        <w:tc>
          <w:tcPr>
            <w:tcW w:type="dxa" w:w="2160"/>
          </w:tcPr>
          <w:p>
            <w:r>
              <w:t>Capacity</w:t>
            </w:r>
          </w:p>
        </w:tc>
      </w:tr>
      <w:tr>
        <w:tc>
          <w:tcPr>
            <w:tcW w:type="dxa" w:w="2160"/>
          </w:tcPr>
          <w:p>
            <w:r>
              <w:t>Litigation intensity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+6</w:t>
            </w:r>
          </w:p>
        </w:tc>
        <w:tc>
          <w:tcPr>
            <w:tcW w:type="dxa" w:w="2160"/>
          </w:tcPr>
          <w:p>
            <w:r>
              <w:t>Character</w:t>
            </w:r>
          </w:p>
        </w:tc>
      </w:tr>
      <w:tr>
        <w:tc>
          <w:tcPr>
            <w:tcW w:type="dxa" w:w="2160"/>
          </w:tcPr>
          <w:p>
            <w:r>
              <w:t>Business vintage</w:t>
            </w:r>
          </w:p>
        </w:tc>
        <w:tc>
          <w:tcPr>
            <w:tcW w:type="dxa" w:w="2160"/>
          </w:tcPr>
          <w:p>
            <w:r>
              <w:t>20 yrs</w:t>
            </w:r>
          </w:p>
        </w:tc>
        <w:tc>
          <w:tcPr>
            <w:tcW w:type="dxa" w:w="2160"/>
          </w:tcPr>
          <w:p>
            <w:r>
              <w:t>+5</w:t>
            </w:r>
          </w:p>
        </w:tc>
        <w:tc>
          <w:tcPr>
            <w:tcW w:type="dxa" w:w="2160"/>
          </w:tcPr>
          <w:p>
            <w:r>
              <w:t>Character</w:t>
            </w:r>
          </w:p>
        </w:tc>
      </w:tr>
      <w:tr>
        <w:tc>
          <w:tcPr>
            <w:tcW w:type="dxa" w:w="2160"/>
          </w:tcPr>
          <w:p>
            <w:r>
              <w:t>Current ratio</w:t>
            </w:r>
          </w:p>
        </w:tc>
        <w:tc>
          <w:tcPr>
            <w:tcW w:type="dxa" w:w="2160"/>
          </w:tcPr>
          <w:p>
            <w:r>
              <w:t>1.26x</w:t>
            </w:r>
          </w:p>
        </w:tc>
        <w:tc>
          <w:tcPr>
            <w:tcW w:type="dxa" w:w="2160"/>
          </w:tcPr>
          <w:p>
            <w:r>
              <w:t>+4</w:t>
            </w:r>
          </w:p>
        </w:tc>
        <w:tc>
          <w:tcPr>
            <w:tcW w:type="dxa" w:w="2160"/>
          </w:tcPr>
          <w:p>
            <w:r>
              <w:t>Capacity</w:t>
            </w:r>
          </w:p>
        </w:tc>
      </w:tr>
      <w:tr>
        <w:tc>
          <w:tcPr>
            <w:tcW w:type="dxa" w:w="2160"/>
          </w:tcPr>
          <w:p>
            <w:r>
              <w:t>GST mismatch</w:t>
            </w:r>
          </w:p>
        </w:tc>
        <w:tc>
          <w:tcPr>
            <w:tcW w:type="dxa" w:w="2160"/>
          </w:tcPr>
          <w:p>
            <w:r>
              <w:t>1.9%</w:t>
            </w:r>
          </w:p>
        </w:tc>
        <w:tc>
          <w:tcPr>
            <w:tcW w:type="dxa" w:w="2160"/>
          </w:tcPr>
          <w:p>
            <w:r>
              <w:t>+4</w:t>
            </w:r>
          </w:p>
        </w:tc>
        <w:tc>
          <w:tcPr>
            <w:tcW w:type="dxa" w:w="2160"/>
          </w:tcPr>
          <w:p>
            <w:r>
              <w:t>Character</w:t>
            </w:r>
          </w:p>
        </w:tc>
      </w:tr>
      <w:tr>
        <w:tc>
          <w:tcPr>
            <w:tcW w:type="dxa" w:w="2160"/>
          </w:tcPr>
          <w:p>
            <w:r>
              <w:t>Overlay: Delayed stock statements submission for two quarters; remind</w:t>
            </w:r>
          </w:p>
        </w:tc>
        <w:tc>
          <w:tcPr>
            <w:tcW w:type="dxa" w:w="2160"/>
          </w:tcPr>
          <w:p>
            <w:r>
              <w:t>analyst note</w:t>
            </w:r>
          </w:p>
        </w:tc>
        <w:tc>
          <w:tcPr>
            <w:tcW w:type="dxa" w:w="2160"/>
          </w:tcPr>
          <w:p>
            <w:r>
              <w:t>-8</w:t>
            </w:r>
          </w:p>
        </w:tc>
        <w:tc>
          <w:tcPr>
            <w:tcW w:type="dxa" w:w="2160"/>
          </w:tcPr>
          <w:p>
            <w:r>
              <w:t>Character</w:t>
            </w:r>
          </w:p>
        </w:tc>
      </w:tr>
      <w:tr>
        <w:tc>
          <w:tcPr>
            <w:tcW w:type="dxa" w:w="2160"/>
          </w:tcPr>
          <w:p>
            <w:r>
              <w:t>Overlay: Overdue / delayed payments</w:t>
            </w:r>
          </w:p>
        </w:tc>
        <w:tc>
          <w:tcPr>
            <w:tcW w:type="dxa" w:w="2160"/>
          </w:tcPr>
          <w:p>
            <w:r>
              <w:t>red flag</w:t>
            </w:r>
          </w:p>
        </w:tc>
        <w:tc>
          <w:tcPr>
            <w:tcW w:type="dxa" w:w="2160"/>
          </w:tcPr>
          <w:p>
            <w:r>
              <w:t>-10</w:t>
            </w:r>
          </w:p>
        </w:tc>
        <w:tc>
          <w:tcPr>
            <w:tcW w:type="dxa" w:w="2160"/>
          </w:tcPr>
          <w:p>
            <w:r>
              <w:t>Capacity</w:t>
            </w:r>
          </w:p>
        </w:tc>
      </w:tr>
      <w:tr>
        <w:tc>
          <w:tcPr>
            <w:tcW w:type="dxa" w:w="2160"/>
          </w:tcPr>
          <w:p>
            <w:r>
              <w:t>Overlay: Contingent liabilities disclosed</w:t>
            </w:r>
          </w:p>
        </w:tc>
        <w:tc>
          <w:tcPr>
            <w:tcW w:type="dxa" w:w="2160"/>
          </w:tcPr>
          <w:p>
            <w:r>
              <w:t>red flag</w:t>
            </w:r>
          </w:p>
        </w:tc>
        <w:tc>
          <w:tcPr>
            <w:tcW w:type="dxa" w:w="2160"/>
          </w:tcPr>
          <w:p>
            <w:r>
              <w:t>-3</w:t>
            </w:r>
          </w:p>
        </w:tc>
        <w:tc>
          <w:tcPr>
            <w:tcW w:type="dxa" w:w="2160"/>
          </w:tcPr>
          <w:p>
            <w:r>
              <w:t>Capital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Policy rule</w:t>
            </w:r>
          </w:p>
        </w:tc>
        <w:tc>
          <w:tcPr>
            <w:tcW w:type="dxa" w:w="2160"/>
          </w:tcPr>
          <w:p>
            <w:r>
              <w:t>Threshold</w:t>
            </w:r>
          </w:p>
        </w:tc>
        <w:tc>
          <w:tcPr>
            <w:tcW w:type="dxa" w:w="2160"/>
          </w:tcPr>
          <w:p>
            <w:r>
              <w:t>Actual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KO-01 Wilful defaulter / RBI defaulter list</w:t>
            </w:r>
          </w:p>
        </w:tc>
        <w:tc>
          <w:tcPr>
            <w:tcW w:type="dxa" w:w="2160"/>
          </w:tcPr>
          <w:p>
            <w:r>
              <w:t>Not on list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KO-02 Existing NPA / SMA-2 classification</w:t>
            </w:r>
          </w:p>
        </w:tc>
        <w:tc>
          <w:tcPr>
            <w:tcW w:type="dxa" w:w="2160"/>
          </w:tcPr>
          <w:p>
            <w:r>
              <w:t>Standard asset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KO-03 Admitted insolvency proceedings</w:t>
            </w:r>
          </w:p>
        </w:tc>
        <w:tc>
          <w:tcPr>
            <w:tcW w:type="dxa" w:w="2160"/>
          </w:tcPr>
          <w:p>
            <w:r>
              <w:t>No CIRP admitted</w:t>
            </w:r>
          </w:p>
        </w:tc>
        <w:tc>
          <w:tcPr>
            <w:tcW w:type="dxa" w:w="2160"/>
          </w:tcPr>
          <w:p>
            <w:r>
              <w:t>none admitted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KO-04 Fraud risk score</w:t>
            </w:r>
          </w:p>
        </w:tc>
        <w:tc>
          <w:tcPr>
            <w:tcW w:type="dxa" w:w="2160"/>
          </w:tcPr>
          <w:p>
            <w:r>
              <w:t>&lt; 75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KO-05 Debt service coverage</w:t>
            </w:r>
          </w:p>
        </w:tc>
        <w:tc>
          <w:tcPr>
            <w:tcW w:type="dxa" w:w="2160"/>
          </w:tcPr>
          <w:p>
            <w:r>
              <w:t>&gt;= 0.90x</w:t>
            </w:r>
          </w:p>
        </w:tc>
        <w:tc>
          <w:tcPr>
            <w:tcW w:type="dxa" w:w="2160"/>
          </w:tcPr>
          <w:p>
            <w:r>
              <w:t>1.37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DV-01 Minimum DSCR</w:t>
            </w:r>
          </w:p>
        </w:tc>
        <w:tc>
          <w:tcPr>
            <w:tcW w:type="dxa" w:w="2160"/>
          </w:tcPr>
          <w:p>
            <w:r>
              <w:t>&gt;= 1.25x</w:t>
            </w:r>
          </w:p>
        </w:tc>
        <w:tc>
          <w:tcPr>
            <w:tcW w:type="dxa" w:w="2160"/>
          </w:tcPr>
          <w:p>
            <w:r>
              <w:t>1.37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DV-02 Maximum Debt / EBITDA</w:t>
            </w:r>
          </w:p>
        </w:tc>
        <w:tc>
          <w:tcPr>
            <w:tcW w:type="dxa" w:w="2160"/>
          </w:tcPr>
          <w:p>
            <w:r>
              <w:t>&lt;= 4.0x</w:t>
            </w:r>
          </w:p>
        </w:tc>
        <w:tc>
          <w:tcPr>
            <w:tcW w:type="dxa" w:w="2160"/>
          </w:tcPr>
          <w:p>
            <w:r>
              <w:t>3.8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DV-03 Maximum Debt / Equity</w:t>
            </w:r>
          </w:p>
        </w:tc>
        <w:tc>
          <w:tcPr>
            <w:tcW w:type="dxa" w:w="2160"/>
          </w:tcPr>
          <w:p>
            <w:r>
              <w:t>&lt;= 3.0x</w:t>
            </w:r>
          </w:p>
        </w:tc>
        <w:tc>
          <w:tcPr>
            <w:tcW w:type="dxa" w:w="2160"/>
          </w:tcPr>
          <w:p>
            <w:r>
              <w:t>1.17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DV-04 Minimum current ratio</w:t>
            </w:r>
          </w:p>
        </w:tc>
        <w:tc>
          <w:tcPr>
            <w:tcW w:type="dxa" w:w="2160"/>
          </w:tcPr>
          <w:p>
            <w:r>
              <w:t>&gt;= 1.10x</w:t>
            </w:r>
          </w:p>
        </w:tc>
        <w:tc>
          <w:tcPr>
            <w:tcW w:type="dxa" w:w="2160"/>
          </w:tcPr>
          <w:p>
            <w:r>
              <w:t>1.26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DV-05 GST turnover reconciliation</w:t>
            </w:r>
          </w:p>
        </w:tc>
        <w:tc>
          <w:tcPr>
            <w:tcW w:type="dxa" w:w="2160"/>
          </w:tcPr>
          <w:p>
            <w:r>
              <w:t>&lt;= 10% variance</w:t>
            </w:r>
          </w:p>
        </w:tc>
        <w:tc>
          <w:tcPr>
            <w:tcW w:type="dxa" w:w="2160"/>
          </w:tcPr>
          <w:p>
            <w:r>
              <w:t>1.88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DV-06 Promoter pledge</w:t>
            </w:r>
          </w:p>
        </w:tc>
        <w:tc>
          <w:tcPr>
            <w:tcW w:type="dxa" w:w="2160"/>
          </w:tcPr>
          <w:p>
            <w:r>
              <w:t>&lt;= 50%</w:t>
            </w:r>
          </w:p>
        </w:tc>
        <w:tc>
          <w:tcPr>
            <w:tcW w:type="dxa" w:w="2160"/>
          </w:tcPr>
          <w:p>
            <w:r>
              <w:t>18.0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DV-07 Collateral coverage</w:t>
            </w:r>
          </w:p>
        </w:tc>
        <w:tc>
          <w:tcPr>
            <w:tcW w:type="dxa" w:w="2160"/>
          </w:tcPr>
          <w:p>
            <w:r>
              <w:t>&gt;= 1.0x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  <w:tr>
        <w:tc>
          <w:tcPr>
            <w:tcW w:type="dxa" w:w="2160"/>
          </w:tcPr>
          <w:p>
            <w:r>
              <w:t>DV-08 Litigation intensity</w:t>
            </w:r>
          </w:p>
        </w:tc>
        <w:tc>
          <w:tcPr>
            <w:tcW w:type="dxa" w:w="2160"/>
          </w:tcPr>
          <w:p>
            <w:r>
              <w:t>&lt;= 60</w:t>
            </w:r>
          </w:p>
        </w:tc>
        <w:tc>
          <w:tcPr>
            <w:tcW w:type="dxa" w:w="2160"/>
          </w:tcPr>
          <w:p>
            <w:r>
              <w:t>8.9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DV-09 Cheque/ECS bounces (6m)</w:t>
            </w:r>
          </w:p>
        </w:tc>
        <w:tc>
          <w:tcPr>
            <w:tcW w:type="dxa" w:w="2160"/>
          </w:tcPr>
          <w:p>
            <w:r>
              <w:t>&lt;= 2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DV-10 Going-concern / audit qualification</w:t>
            </w:r>
          </w:p>
        </w:tc>
        <w:tc>
          <w:tcPr>
            <w:tcW w:type="dxa" w:w="2160"/>
          </w:tcPr>
          <w:p>
            <w:r>
              <w:t>Clean opinion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r>
        <w:rPr>
          <w:i/>
        </w:rPr>
        <w:t>Model score 730 = base 657 pts + feature points (exact TreeSHAP attribution, PDO-scaled); overlays -21 pts give final score 709. Model xgb-20261004-131921 (AUC 0.8764).</w:t>
      </w:r>
    </w:p>
    <w:p>
      <w:pPr>
        <w:pStyle w:val="Heading1"/>
      </w:pPr>
      <w:r>
        <w:t>11. Analyst Observations</w:t>
      </w:r>
    </w:p>
    <w:p>
      <w:r>
        <w:t>2 qualitative observation(s) recorded by the underwriting team.</w:t>
      </w:r>
    </w:p>
    <w:p>
      <w:pPr>
        <w:pStyle w:val="ListBullet"/>
      </w:pPr>
      <w:r>
        <w:t>Operations: Order book of ₹430 crore with state highway authority gives visibility; collections delayed but no write-offs.</w:t>
      </w:r>
    </w:p>
    <w:p>
      <w:pPr>
        <w:pStyle w:val="ListBullet"/>
      </w:pPr>
      <w:r>
        <w:t>Financial: Delayed stock statements submission for two quarters; reminded borrower. (score impact -8 pts)</w:t>
      </w:r>
    </w:p>
    <w:p>
      <w:pPr>
        <w:pStyle w:val="Heading1"/>
      </w:pPr>
      <w:r>
        <w:t>12. Loan Sizing &amp; Risk-Based Pricing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Eligible amount</w:t>
            </w:r>
          </w:p>
        </w:tc>
        <w:tc>
          <w:tcPr>
            <w:tcW w:type="dxa" w:w="2880"/>
          </w:tcPr>
          <w:p>
            <w:r>
              <w:t>Basis</w:t>
            </w:r>
          </w:p>
        </w:tc>
      </w:tr>
      <w:tr>
        <w:tc>
          <w:tcPr>
            <w:tcW w:type="dxa" w:w="2880"/>
          </w:tcPr>
          <w:p>
            <w:r>
              <w:t>Requested amount</w:t>
            </w:r>
          </w:p>
        </w:tc>
        <w:tc>
          <w:tcPr>
            <w:tcW w:type="dxa" w:w="2880"/>
          </w:tcPr>
          <w:p>
            <w:r>
              <w:t>₹20.00 Cr</w:t>
            </w:r>
          </w:p>
        </w:tc>
        <w:tc>
          <w:tcPr>
            <w:tcW w:type="dxa" w:w="2880"/>
          </w:tcPr>
          <w:p>
            <w:r>
              <w:t>Applicant request</w:t>
            </w:r>
          </w:p>
        </w:tc>
      </w:tr>
      <w:tr>
        <w:tc>
          <w:tcPr>
            <w:tcW w:type="dxa" w:w="2880"/>
          </w:tcPr>
          <w:p>
            <w:r>
              <w:t>Turnover method (Nayak Committee)</w:t>
            </w:r>
          </w:p>
        </w:tc>
        <w:tc>
          <w:tcPr>
            <w:tcW w:type="dxa" w:w="2880"/>
          </w:tcPr>
          <w:p>
            <w:r>
              <w:t>₹27.60 Cr</w:t>
            </w:r>
          </w:p>
        </w:tc>
        <w:tc>
          <w:tcPr>
            <w:tcW w:type="dxa" w:w="2880"/>
          </w:tcPr>
          <w:p>
            <w:r>
              <w:t>20% of projected annual turnover (25% WC need less 5% promoter margin)</w:t>
            </w:r>
          </w:p>
        </w:tc>
      </w:tr>
      <w:tr>
        <w:tc>
          <w:tcPr>
            <w:tcW w:type="dxa" w:w="2880"/>
          </w:tcPr>
          <w:p>
            <w:r>
              <w:t>Leverage ceiling</w:t>
            </w:r>
          </w:p>
        </w:tc>
        <w:tc>
          <w:tcPr>
            <w:tcW w:type="dxa" w:w="2880"/>
          </w:tcPr>
          <w:p>
            <w:r>
              <w:t>₹42.08 Cr</w:t>
            </w:r>
          </w:p>
        </w:tc>
        <w:tc>
          <w:tcPr>
            <w:tcW w:type="dxa" w:w="2880"/>
          </w:tcPr>
          <w:p>
            <w:r>
              <w:t>4.25x Debt/EBITDA for grade; existing WC lines assumed refinanced</w:t>
            </w:r>
          </w:p>
        </w:tc>
      </w:tr>
      <w:tr>
        <w:tc>
          <w:tcPr>
            <w:tcW w:type="dxa" w:w="2880"/>
          </w:tcPr>
          <w:p>
            <w:r>
              <w:t>Security cover ★</w:t>
            </w:r>
          </w:p>
        </w:tc>
        <w:tc>
          <w:tcPr>
            <w:tcW w:type="dxa" w:w="2880"/>
          </w:tcPr>
          <w:p>
            <w:r>
              <w:t>₹12.80 Cr</w:t>
            </w:r>
          </w:p>
        </w:tc>
        <w:tc>
          <w:tcPr>
            <w:tcW w:type="dxa" w:w="2880"/>
          </w:tcPr>
          <w:p>
            <w:r>
              <w:t>Collateral value / 1.25x minimum security cover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Pricing component</w:t>
            </w:r>
          </w:p>
        </w:tc>
        <w:tc>
          <w:tcPr>
            <w:tcW w:type="dxa" w:w="2880"/>
          </w:tcPr>
          <w:p>
            <w:r>
              <w:t>bps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Benchmark (EBLR/MCLR)</w:t>
            </w:r>
          </w:p>
        </w:tc>
        <w:tc>
          <w:tcPr>
            <w:tcW w:type="dxa" w:w="2880"/>
          </w:tcPr>
          <w:p>
            <w:r>
              <w:t>+925</w:t>
            </w:r>
          </w:p>
        </w:tc>
        <w:tc>
          <w:tcPr>
            <w:tcW w:type="dxa" w:w="2880"/>
          </w:tcPr>
          <w:p>
            <w:r>
              <w:t>Bank's external benchmark lending rate (RBI repo 5.50%)</w:t>
            </w:r>
          </w:p>
        </w:tc>
      </w:tr>
      <w:tr>
        <w:tc>
          <w:tcPr>
            <w:tcW w:type="dxa" w:w="2880"/>
          </w:tcPr>
          <w:p>
            <w:r>
              <w:t>Credit risk premium (CX4)</w:t>
            </w:r>
          </w:p>
        </w:tc>
        <w:tc>
          <w:tcPr>
            <w:tcW w:type="dxa" w:w="2880"/>
          </w:tcPr>
          <w:p>
            <w:r>
              <w:t>+200</w:t>
            </w:r>
          </w:p>
        </w:tc>
        <w:tc>
          <w:tcPr>
            <w:tcW w:type="dxa" w:w="2880"/>
          </w:tcPr>
          <w:p>
            <w:r>
              <w:t>Grade-linked spread</w:t>
            </w:r>
          </w:p>
        </w:tc>
      </w:tr>
      <w:tr>
        <w:tc>
          <w:tcPr>
            <w:tcW w:type="dxa" w:w="2880"/>
          </w:tcPr>
          <w:p>
            <w:r>
              <w:t>Unsecured exposure premium</w:t>
            </w:r>
          </w:p>
        </w:tc>
        <w:tc>
          <w:tcPr>
            <w:tcW w:type="dxa" w:w="2880"/>
          </w:tcPr>
          <w:p>
            <w:r>
              <w:t>+50</w:t>
            </w:r>
          </w:p>
        </w:tc>
        <w:tc>
          <w:tcPr>
            <w:tcW w:type="dxa" w:w="2880"/>
          </w:tcPr>
          <w:p>
            <w:r>
              <w:t>Security cover 0.80x</w:t>
            </w:r>
          </w:p>
        </w:tc>
      </w:tr>
      <w:tr>
        <w:tc>
          <w:tcPr>
            <w:tcW w:type="dxa" w:w="2880"/>
          </w:tcPr>
          <w:p>
            <w:r>
              <w:t>Policy deviation premium</w:t>
            </w:r>
          </w:p>
        </w:tc>
        <w:tc>
          <w:tcPr>
            <w:tcW w:type="dxa" w:w="2880"/>
          </w:tcPr>
          <w:p>
            <w:r>
              <w:t>+25</w:t>
            </w:r>
          </w:p>
        </w:tc>
        <w:tc>
          <w:tcPr>
            <w:tcW w:type="dxa" w:w="2880"/>
          </w:tcPr>
          <w:p>
            <w:r>
              <w:t>1 policy deviation(s) approved at sanction</w:t>
            </w:r>
          </w:p>
        </w:tc>
      </w:tr>
      <w:tr>
        <w:tc>
          <w:tcPr>
            <w:tcW w:type="dxa" w:w="2880"/>
          </w:tcPr>
          <w:p>
            <w:r>
              <w:t>All-in rate</w:t>
            </w:r>
          </w:p>
        </w:tc>
        <w:tc>
          <w:tcPr>
            <w:tcW w:type="dxa" w:w="2880"/>
          </w:tcPr>
          <w:p>
            <w:r>
              <w:t>12.0%</w:t>
            </w:r>
          </w:p>
        </w:tc>
        <w:tc>
          <w:tcPr>
            <w:tcW w:type="dxa" w:w="2880"/>
          </w:tcPr>
          <w:p>
            <w:r>
              <w:t>Spread 2.75% over benchmark</w:t>
            </w:r>
          </w:p>
        </w:tc>
      </w:tr>
    </w:tbl>
    <w:p>
      <w:r>
        <w:rPr>
          <w:i/>
        </w:rPr>
        <w:t>Recommended ₹12.80 Cr; binding constraint: Security cover.</w:t>
      </w:r>
    </w:p>
    <w:p>
      <w:pPr>
        <w:pStyle w:val="Heading1"/>
      </w:pPr>
      <w:r>
        <w:t>13. Recommendation &amp; Conditions</w:t>
      </w:r>
    </w:p>
    <w:p>
      <w:r>
        <w:t>Recommendation: Approve with conditions — ₹12.80 Cr at 12.0% p.a. for 12 months.</w:t>
      </w:r>
    </w:p>
    <w:p>
      <w:r>
        <w:rPr>
          <w:b/>
        </w:rPr>
        <w:t>Basis of recommendation</w:t>
      </w:r>
    </w:p>
    <w:p>
      <w:pPr>
        <w:pStyle w:val="ListBullet"/>
      </w:pPr>
      <w:r>
        <w:t>Deviation DV-07: Collateral coverage (actual 0.8, required &gt;= 1.0x)</w:t>
      </w:r>
    </w:p>
    <w:p>
      <w:r>
        <w:rPr>
          <w:b/>
        </w:rPr>
        <w:t>Terms &amp; conditions</w:t>
      </w:r>
    </w:p>
    <w:p>
      <w:pPr>
        <w:pStyle w:val="ListBullet"/>
      </w:pPr>
      <w:r>
        <w:t>Additional collateral or personal guarantees of promoters to reach 1.25x cover</w:t>
      </w:r>
    </w:p>
    <w:p>
      <w:pPr>
        <w:pStyle w:val="ListBullet"/>
      </w:pPr>
      <w:r>
        <w:t>Standard: CERSAI registration of security, insurance with bank clause, annual review</w:t>
      </w:r>
    </w:p>
    <w:p>
      <w:r>
        <w:rPr>
          <w:b/>
        </w:rPr>
        <w:t>Key risks</w:t>
      </w:r>
    </w:p>
    <w:p>
      <w:pPr>
        <w:pStyle w:val="ListBullet"/>
      </w:pPr>
      <w:r>
        <w:t>Collateral coverage 0.80x (-7 pts)</w:t>
      </w:r>
    </w:p>
    <w:p>
      <w:pPr>
        <w:pStyle w:val="ListBullet"/>
      </w:pPr>
      <w:r>
        <w:t>Receivable days 161 days (-6 pts)</w:t>
      </w:r>
    </w:p>
    <w:p>
      <w:pPr>
        <w:pStyle w:val="ListBullet"/>
      </w:pPr>
      <w:r>
        <w:t>Sector risk 4 (-4 pts)</w:t>
      </w:r>
    </w:p>
    <w:p>
      <w:pPr>
        <w:pStyle w:val="ListBullet"/>
      </w:pPr>
      <w:r>
        <w:t>Debt / EBITDA 3.80x (-1 pts)</w:t>
      </w:r>
    </w:p>
    <w:p>
      <w:pPr>
        <w:pStyle w:val="ListBullet"/>
      </w:pPr>
      <w:r>
        <w:t>Overdue / delayed payments (-10 pts)</w:t>
      </w:r>
    </w:p>
    <w:p>
      <w:pPr>
        <w:pStyle w:val="ListBullet"/>
      </w:pPr>
      <w:r>
        <w:t>Delayed stock statements submission for two quarters; reminded borrower. (-8 pts)</w:t>
      </w:r>
    </w:p>
    <w:p>
      <w:pPr>
        <w:pStyle w:val="ListBullet"/>
      </w:pPr>
      <w:r>
        <w:t>Contingent liabilities disclosed (-3 pts)</w:t>
      </w:r>
    </w:p>
    <w:p>
      <w:r>
        <w:rPr>
          <w:b/>
        </w:rPr>
        <w:t>Mitigants / strengths</w:t>
      </w:r>
    </w:p>
    <w:p>
      <w:pPr>
        <w:pStyle w:val="ListBullet"/>
      </w:pPr>
      <w:r>
        <w:t>Fraud risk score 4 (+19 pts)</w:t>
      </w:r>
    </w:p>
    <w:p>
      <w:pPr>
        <w:pStyle w:val="ListBullet"/>
      </w:pPr>
      <w:r>
        <w:t>Debt service coverage 1.37x (+10 pts)</w:t>
      </w:r>
    </w:p>
    <w:p>
      <w:pPr>
        <w:pStyle w:val="ListBullet"/>
      </w:pPr>
      <w:r>
        <w:t>Promoter sentiment +0.18 (+10 pts)</w:t>
      </w:r>
    </w:p>
    <w:p>
      <w:pPr>
        <w:pStyle w:val="ListBullet"/>
      </w:pPr>
      <w:r>
        <w:t>Cheque/ECS bounces 0 (+8 pts)</w:t>
      </w:r>
    </w:p>
    <w:p>
      <w:pPr>
        <w:pStyle w:val="ListBullet"/>
      </w:pPr>
      <w:r>
        <w:t>Interest coverage 2.52x (+7 pts)</w:t>
      </w:r>
    </w:p>
    <w:p>
      <w:pPr>
        <w:pStyle w:val="Heading1"/>
      </w:pPr>
      <w:r>
        <w:t>Annexure — Documents Reviewed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Extraction confidence</w:t>
            </w:r>
          </w:p>
        </w:tc>
      </w:tr>
      <w:tr>
        <w:tc>
          <w:tcPr>
            <w:tcW w:type="dxa" w:w="2880"/>
          </w:tcPr>
          <w:p>
            <w:r>
              <w:t>annual_report_FY25.pdf</w:t>
            </w:r>
          </w:p>
        </w:tc>
        <w:tc>
          <w:tcPr>
            <w:tcW w:type="dxa" w:w="2880"/>
          </w:tcPr>
          <w:p>
            <w:r>
              <w:t>Financial Statement</w:t>
            </w:r>
          </w:p>
        </w:tc>
        <w:tc>
          <w:tcPr>
            <w:tcW w:type="dxa" w:w="2880"/>
          </w:tcPr>
          <w:p>
            <w:r>
              <w:t>91%</w:t>
            </w:r>
          </w:p>
        </w:tc>
      </w:tr>
      <w:tr>
        <w:tc>
          <w:tcPr>
            <w:tcW w:type="dxa" w:w="2880"/>
          </w:tcPr>
          <w:p>
            <w:r>
              <w:t>gst_returns_FY25.pdf</w:t>
            </w:r>
          </w:p>
        </w:tc>
        <w:tc>
          <w:tcPr>
            <w:tcW w:type="dxa" w:w="2880"/>
          </w:tcPr>
          <w:p>
            <w:r>
              <w:t>Gst Return</w:t>
            </w:r>
          </w:p>
        </w:tc>
        <w:tc>
          <w:tcPr>
            <w:tcW w:type="dxa" w:w="2880"/>
          </w:tcPr>
          <w:p>
            <w:r>
              <w:t>98%</w:t>
            </w:r>
          </w:p>
        </w:tc>
      </w:tr>
      <w:tr>
        <w:tc>
          <w:tcPr>
            <w:tcW w:type="dxa" w:w="2880"/>
          </w:tcPr>
          <w:p>
            <w:r>
              <w:t>bank_statement_Oct24-Mar25.pdf</w:t>
            </w:r>
          </w:p>
        </w:tc>
        <w:tc>
          <w:tcPr>
            <w:tcW w:type="dxa" w:w="2880"/>
          </w:tcPr>
          <w:p>
            <w:r>
              <w:t>Bank Statement</w:t>
            </w:r>
          </w:p>
        </w:tc>
        <w:tc>
          <w:tcPr>
            <w:tcW w:type="dxa" w:w="2880"/>
          </w:tcPr>
          <w:p>
            <w:r>
              <w:t>98%</w:t>
            </w:r>
          </w:p>
        </w:tc>
      </w:tr>
      <w:tr>
        <w:tc>
          <w:tcPr>
            <w:tcW w:type="dxa" w:w="2880"/>
          </w:tcPr>
          <w:p>
            <w:r>
              <w:t>mca_mgt7_extract.pdf</w:t>
            </w:r>
          </w:p>
        </w:tc>
        <w:tc>
          <w:tcPr>
            <w:tcW w:type="dxa" w:w="2880"/>
          </w:tcPr>
          <w:p>
            <w:r>
              <w:t>Mca Filing</w:t>
            </w:r>
          </w:p>
        </w:tc>
        <w:tc>
          <w:tcPr>
            <w:tcW w:type="dxa" w:w="2880"/>
          </w:tcPr>
          <w:p>
            <w:r>
              <w:t>98%</w:t>
            </w:r>
          </w:p>
        </w:tc>
      </w:tr>
      <w:tr>
        <w:tc>
          <w:tcPr>
            <w:tcW w:type="dxa" w:w="2880"/>
          </w:tcPr>
          <w:p>
            <w:r>
              <w:t>shareholding_pattern.pdf</w:t>
            </w:r>
          </w:p>
        </w:tc>
        <w:tc>
          <w:tcPr>
            <w:tcW w:type="dxa" w:w="2880"/>
          </w:tcPr>
          <w:p>
            <w:r>
              <w:t>Shareholding Pattern</w:t>
            </w:r>
          </w:p>
        </w:tc>
        <w:tc>
          <w:tcPr>
            <w:tcW w:type="dxa" w:w="2880"/>
          </w:tcPr>
          <w:p>
            <w:r>
              <w:t>98%</w:t>
            </w:r>
          </w:p>
        </w:tc>
      </w:tr>
      <w:tr>
        <w:tc>
          <w:tcPr>
            <w:tcW w:type="dxa" w:w="2880"/>
          </w:tcPr>
          <w:p>
            <w:r>
              <w:t>existing_sanction_letter.pdf</w:t>
            </w:r>
          </w:p>
        </w:tc>
        <w:tc>
          <w:tcPr>
            <w:tcW w:type="dxa" w:w="2880"/>
          </w:tcPr>
          <w:p>
            <w:r>
              <w:t>Sanction Letter</w:t>
            </w:r>
          </w:p>
        </w:tc>
        <w:tc>
          <w:tcPr>
            <w:tcW w:type="dxa" w:w="2880"/>
          </w:tcPr>
          <w:p>
            <w:r>
              <w:t>98%</w:t>
            </w:r>
          </w:p>
        </w:tc>
      </w:tr>
      <w:tr>
        <w:tc>
          <w:tcPr>
            <w:tcW w:type="dxa" w:w="2880"/>
          </w:tcPr>
          <w:p>
            <w:r>
              <w:t>legal_notice_1.pdf</w:t>
            </w:r>
          </w:p>
        </w:tc>
        <w:tc>
          <w:tcPr>
            <w:tcW w:type="dxa" w:w="2880"/>
          </w:tcPr>
          <w:p>
            <w:r>
              <w:t>Legal Notice</w:t>
            </w:r>
          </w:p>
        </w:tc>
        <w:tc>
          <w:tcPr>
            <w:tcW w:type="dxa" w:w="2880"/>
          </w:tcPr>
          <w:p>
            <w:r>
              <w:t>94%</w:t>
            </w:r>
          </w:p>
        </w:tc>
      </w:tr>
    </w:tbl>
    <w:p>
      <w:r>
        <w:rPr>
          <w:i/>
        </w:rPr>
        <w:t>Generated by CredX on 04 Oct 2026 15:23 UTC. Machine-generated recommendation; final sanction rests with the delegated authority.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Prepared by (Credit Analyst)</w:t>
            </w:r>
          </w:p>
        </w:tc>
        <w:tc>
          <w:tcPr>
            <w:tcW w:type="dxa" w:w="2880"/>
          </w:tcPr>
          <w:p>
            <w:r>
              <w:t>Reviewed by (Credit Manager)</w:t>
            </w:r>
          </w:p>
        </w:tc>
        <w:tc>
          <w:tcPr>
            <w:tcW w:type="dxa" w:w="2880"/>
          </w:tcPr>
          <w:p>
            <w:r>
              <w:t>Sanctioning Authority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