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4F9C"/>
        </w:rPr>
        <w:t>CREDX · CREDIT APPRAISAL MEMORANDUM</w:t>
      </w:r>
    </w:p>
    <w:p>
      <w:pPr>
        <w:pStyle w:val="Title"/>
      </w:pPr>
      <w:r>
        <w:t>Sunline Processors Limited</w:t>
      </w:r>
    </w:p>
    <w:p>
      <w:pPr>
        <w:jc w:val="left"/>
      </w:pPr>
      <w:r>
        <w:t>CX-2026-0001 · Term Loan · Version 1 · 04 Oct 2026 · Strictly confidential</w:t>
      </w:r>
    </w:p>
    <w:p>
      <w:pPr>
        <w:pStyle w:val="Heading1"/>
      </w:pPr>
      <w:r>
        <w:t>1. Executive Summary</w:t>
      </w:r>
    </w:p>
    <w:p>
      <w:r>
        <w:rPr>
          <w:b/>
        </w:rPr>
        <w:t>Recommendation: Approve</w:t>
      </w:r>
    </w:p>
    <w:p>
      <w:r>
        <w:t>Sunline Processors Limited, operating in Food &amp; Agro Processing, has applied for a Term Loan of ₹40.00 Cr. The proposal is recommended for approval. The internal score of 847 (CX1) implies a one-year probability of default of 0.08%. Principal concerns are no material risk drivers. These are partly mitigated by Debt service coverage 3.03x; Fraud risk score 0; Promoter sentiment +0.68. We recommend an exposure of ₹40.00 Cr priced at 9.7% p.a., with sizing bound by the requested amount.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Credit score</w:t>
            </w:r>
          </w:p>
        </w:tc>
        <w:tc>
          <w:tcPr>
            <w:tcW w:type="dxa" w:w="4320"/>
          </w:tcPr>
          <w:p>
            <w:r>
              <w:t>847 / 900</w:t>
            </w:r>
          </w:p>
        </w:tc>
      </w:tr>
      <w:tr>
        <w:tc>
          <w:tcPr>
            <w:tcW w:type="dxa" w:w="4320"/>
          </w:tcPr>
          <w:p>
            <w:r>
              <w:t>Internal grade</w:t>
            </w:r>
          </w:p>
        </w:tc>
        <w:tc>
          <w:tcPr>
            <w:tcW w:type="dxa" w:w="4320"/>
          </w:tcPr>
          <w:p>
            <w:r>
              <w:t>CX1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Probability of default (1y)</w:t>
            </w:r>
          </w:p>
        </w:tc>
        <w:tc>
          <w:tcPr>
            <w:tcW w:type="dxa" w:w="4320"/>
          </w:tcPr>
          <w:p>
            <w:r>
              <w:t>0.08%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₹40.00 Cr</w:t>
            </w:r>
          </w:p>
        </w:tc>
      </w:tr>
      <w:tr>
        <w:tc>
          <w:tcPr>
            <w:tcW w:type="dxa" w:w="4320"/>
          </w:tcPr>
          <w:p>
            <w:r>
              <w:t>Suggested rate</w:t>
            </w:r>
          </w:p>
        </w:tc>
        <w:tc>
          <w:tcPr>
            <w:tcW w:type="dxa" w:w="4320"/>
          </w:tcPr>
          <w:p>
            <w:r>
              <w:t>9.7% p.a.</w:t>
            </w:r>
          </w:p>
        </w:tc>
      </w:tr>
      <w:tr>
        <w:tc>
          <w:tcPr>
            <w:tcW w:type="dxa" w:w="4320"/>
          </w:tcPr>
          <w:p>
            <w:r>
              <w:t>Fraud risk score</w:t>
            </w:r>
          </w:p>
        </w:tc>
        <w:tc>
          <w:tcPr>
            <w:tcW w:type="dxa" w:w="4320"/>
          </w:tcPr>
          <w:p>
            <w:r>
              <w:t>0 / 100</w:t>
            </w:r>
          </w:p>
        </w:tc>
      </w:tr>
      <w:tr>
        <w:tc>
          <w:tcPr>
            <w:tcW w:type="dxa" w:w="4320"/>
          </w:tcPr>
          <w:p>
            <w:r>
              <w:t>Approval likelihood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>
      <w:pPr>
        <w:pStyle w:val="Heading1"/>
      </w:pPr>
      <w:r>
        <w:t>2. Borrower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Legal name</w:t>
            </w:r>
          </w:p>
        </w:tc>
        <w:tc>
          <w:tcPr>
            <w:tcW w:type="dxa" w:w="4320"/>
          </w:tcPr>
          <w:p>
            <w:r>
              <w:t>Sunline Processors Limited</w:t>
            </w:r>
          </w:p>
        </w:tc>
      </w:tr>
      <w:tr>
        <w:tc>
          <w:tcPr>
            <w:tcW w:type="dxa" w:w="4320"/>
          </w:tcPr>
          <w:p>
            <w:r>
              <w:t>Constitution</w:t>
            </w:r>
          </w:p>
        </w:tc>
        <w:tc>
          <w:tcPr>
            <w:tcW w:type="dxa" w:w="4320"/>
          </w:tcPr>
          <w:p>
            <w:r>
              <w:t>Public Limited (Listed)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L15400GJ2004PLC044321</w:t>
            </w:r>
          </w:p>
        </w:tc>
      </w:tr>
      <w:tr>
        <w:tc>
          <w:tcPr>
            <w:tcW w:type="dxa" w:w="4320"/>
          </w:tcPr>
          <w:p>
            <w:r>
              <w:t>PAN</w:t>
            </w:r>
          </w:p>
        </w:tc>
        <w:tc>
          <w:tcPr>
            <w:tcW w:type="dxa" w:w="4320"/>
          </w:tcPr>
          <w:p>
            <w:r>
              <w:t>AAKCS4821M</w:t>
            </w:r>
          </w:p>
        </w:tc>
      </w:tr>
      <w:tr>
        <w:tc>
          <w:tcPr>
            <w:tcW w:type="dxa" w:w="4320"/>
          </w:tcPr>
          <w:p>
            <w:r>
              <w:t>GSTIN</w:t>
            </w:r>
          </w:p>
        </w:tc>
        <w:tc>
          <w:tcPr>
            <w:tcW w:type="dxa" w:w="4320"/>
          </w:tcPr>
          <w:p>
            <w:r>
              <w:t>24AAKCS4821M1Z2</w:t>
            </w:r>
          </w:p>
        </w:tc>
      </w:tr>
      <w:tr>
        <w:tc>
          <w:tcPr>
            <w:tcW w:type="dxa" w:w="4320"/>
          </w:tcPr>
          <w:p>
            <w:r>
              <w:t>Incorporated</w:t>
            </w:r>
          </w:p>
        </w:tc>
        <w:tc>
          <w:tcPr>
            <w:tcW w:type="dxa" w:w="4320"/>
          </w:tcPr>
          <w:p>
            <w:r>
              <w:t>2004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Food &amp; Agro Processing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Rajkot, Gujarat</w:t>
            </w:r>
          </w:p>
        </w:tc>
      </w:tr>
      <w:tr>
        <w:tc>
          <w:tcPr>
            <w:tcW w:type="dxa" w:w="4320"/>
          </w:tcPr>
          <w:p>
            <w:r>
              <w:t>Promoters / directors</w:t>
            </w:r>
          </w:p>
        </w:tc>
        <w:tc>
          <w:tcPr>
            <w:tcW w:type="dxa" w:w="4320"/>
          </w:tcPr>
          <w:p>
            <w:r>
              <w:t>Harish Patel (DIN 00481236), Kavita Patel (DIN 00481237)</w:t>
            </w:r>
          </w:p>
        </w:tc>
      </w:tr>
      <w:tr>
        <w:tc>
          <w:tcPr>
            <w:tcW w:type="dxa" w:w="4320"/>
          </w:tcPr>
          <w:p>
            <w:r>
              <w:t>External rating</w:t>
            </w:r>
          </w:p>
        </w:tc>
        <w:tc>
          <w:tcPr>
            <w:tcW w:type="dxa" w:w="4320"/>
          </w:tcPr>
          <w:p>
            <w:r>
              <w:t>A-/Stable (demo agency)</w:t>
            </w:r>
          </w:p>
        </w:tc>
      </w:tr>
    </w:tbl>
    <w:p>
      <w:pPr>
        <w:pStyle w:val="Heading1"/>
      </w:pPr>
      <w:r>
        <w:t>3. Proposed Facility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Case reference</w:t>
            </w:r>
          </w:p>
        </w:tc>
        <w:tc>
          <w:tcPr>
            <w:tcW w:type="dxa" w:w="4320"/>
          </w:tcPr>
          <w:p>
            <w:r>
              <w:t>CX-2026-0001</w:t>
            </w:r>
          </w:p>
        </w:tc>
      </w:tr>
      <w:tr>
        <w:tc>
          <w:tcPr>
            <w:tcW w:type="dxa" w:w="4320"/>
          </w:tcPr>
          <w:p>
            <w:r>
              <w:t>Facility</w:t>
            </w:r>
          </w:p>
        </w:tc>
        <w:tc>
          <w:tcPr>
            <w:tcW w:type="dxa" w:w="4320"/>
          </w:tcPr>
          <w:p>
            <w:r>
              <w:t>Term Loan</w:t>
            </w:r>
          </w:p>
        </w:tc>
      </w:tr>
      <w:tr>
        <w:tc>
          <w:tcPr>
            <w:tcW w:type="dxa" w:w="4320"/>
          </w:tcPr>
          <w:p>
            <w:r>
              <w:t>Amount requested</w:t>
            </w:r>
          </w:p>
        </w:tc>
        <w:tc>
          <w:tcPr>
            <w:tcW w:type="dxa" w:w="4320"/>
          </w:tcPr>
          <w:p>
            <w:r>
              <w:t>₹40,00,00,000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72 months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Capex for cold-chain warehouse and dehydration line (30% capacity addition)</w:t>
            </w:r>
          </w:p>
        </w:tc>
      </w:tr>
      <w:tr>
        <w:tc>
          <w:tcPr>
            <w:tcW w:type="dxa" w:w="4320"/>
          </w:tcPr>
          <w:p>
            <w:r>
              <w:t>Security offered</w:t>
            </w:r>
          </w:p>
        </w:tc>
        <w:tc>
          <w:tcPr>
            <w:tcW w:type="dxa" w:w="4320"/>
          </w:tcPr>
          <w:p>
            <w:r>
              <w:t>Equitable mortgage of factory land &amp; building, Metoda; hypothecation of plant</w:t>
            </w:r>
          </w:p>
        </w:tc>
      </w:tr>
      <w:tr>
        <w:tc>
          <w:tcPr>
            <w:tcW w:type="dxa" w:w="4320"/>
          </w:tcPr>
          <w:p>
            <w:r>
              <w:t>Security value</w:t>
            </w:r>
          </w:p>
        </w:tc>
        <w:tc>
          <w:tcPr>
            <w:tcW w:type="dxa" w:w="4320"/>
          </w:tcPr>
          <w:p>
            <w:r>
              <w:t>₹68.00 Cr</w:t>
            </w:r>
          </w:p>
        </w:tc>
      </w:tr>
    </w:tbl>
    <w:p>
      <w:pPr>
        <w:pStyle w:val="Heading1"/>
      </w:pPr>
      <w:r>
        <w:t>4. Financial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FY23</w:t>
            </w:r>
          </w:p>
        </w:tc>
        <w:tc>
          <w:tcPr>
            <w:tcW w:type="dxa" w:w="2160"/>
          </w:tcPr>
          <w:p>
            <w:r>
              <w:t>FY24</w:t>
            </w:r>
          </w:p>
        </w:tc>
        <w:tc>
          <w:tcPr>
            <w:tcW w:type="dxa" w:w="2160"/>
          </w:tcPr>
          <w:p>
            <w:r>
              <w:t>FY25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₹191.00 Cr</w:t>
            </w:r>
          </w:p>
        </w:tc>
        <w:tc>
          <w:tcPr>
            <w:tcW w:type="dxa" w:w="2160"/>
          </w:tcPr>
          <w:p>
            <w:r>
              <w:t>₹214.00 Cr</w:t>
            </w:r>
          </w:p>
        </w:tc>
        <w:tc>
          <w:tcPr>
            <w:tcW w:type="dxa" w:w="2160"/>
          </w:tcPr>
          <w:p>
            <w:r>
              <w:t>₹242.00 Cr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₹25.20 Cr</w:t>
            </w:r>
          </w:p>
        </w:tc>
        <w:tc>
          <w:tcPr>
            <w:tcW w:type="dxa" w:w="2160"/>
          </w:tcPr>
          <w:p>
            <w:r>
              <w:t>₹29.10 Cr</w:t>
            </w:r>
          </w:p>
        </w:tc>
        <w:tc>
          <w:tcPr>
            <w:tcW w:type="dxa" w:w="2160"/>
          </w:tcPr>
          <w:p>
            <w:r>
              <w:t>₹33.90 Cr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13.6%</w:t>
            </w:r>
          </w:p>
        </w:tc>
        <w:tc>
          <w:tcPr>
            <w:tcW w:type="dxa" w:w="2160"/>
          </w:tcPr>
          <w:p>
            <w:r>
              <w:t>14.0%</w:t>
            </w:r>
          </w:p>
        </w:tc>
      </w:tr>
      <w:tr>
        <w:tc>
          <w:tcPr>
            <w:tcW w:type="dxa" w:w="2160"/>
          </w:tcPr>
          <w:p>
            <w:r>
              <w:t>PAT</w:t>
            </w:r>
          </w:p>
        </w:tc>
        <w:tc>
          <w:tcPr>
            <w:tcW w:type="dxa" w:w="2160"/>
          </w:tcPr>
          <w:p>
            <w:r>
              <w:t>₹10.90 Cr</w:t>
            </w:r>
          </w:p>
        </w:tc>
        <w:tc>
          <w:tcPr>
            <w:tcW w:type="dxa" w:w="2160"/>
          </w:tcPr>
          <w:p>
            <w:r>
              <w:t>₹13.60 Cr</w:t>
            </w:r>
          </w:p>
        </w:tc>
        <w:tc>
          <w:tcPr>
            <w:tcW w:type="dxa" w:w="2160"/>
          </w:tcPr>
          <w:p>
            <w:r>
              <w:t>₹16.50 Cr</w:t>
            </w:r>
          </w:p>
        </w:tc>
      </w:tr>
      <w:tr>
        <w:tc>
          <w:tcPr>
            <w:tcW w:type="dxa" w:w="2160"/>
          </w:tcPr>
          <w:p>
            <w:r>
              <w:t>Revenue growth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</w:tr>
      <w:tr>
        <w:tc>
          <w:tcPr>
            <w:tcW w:type="dxa" w:w="2160"/>
          </w:tcPr>
          <w:p>
            <w:r>
              <w:t>Total debt</w:t>
            </w:r>
          </w:p>
        </w:tc>
        <w:tc>
          <w:tcPr>
            <w:tcW w:type="dxa" w:w="2160"/>
          </w:tcPr>
          <w:p>
            <w:r>
              <w:t>₹91.00 Cr</w:t>
            </w:r>
          </w:p>
        </w:tc>
        <w:tc>
          <w:tcPr>
            <w:tcW w:type="dxa" w:w="2160"/>
          </w:tcPr>
          <w:p>
            <w:r>
              <w:t>₹85.00 Cr</w:t>
            </w:r>
          </w:p>
        </w:tc>
        <w:tc>
          <w:tcPr>
            <w:tcW w:type="dxa" w:w="2160"/>
          </w:tcPr>
          <w:p>
            <w:r>
              <w:t>₹78.00 Cr</w:t>
            </w:r>
          </w:p>
        </w:tc>
      </w:tr>
      <w:tr>
        <w:tc>
          <w:tcPr>
            <w:tcW w:type="dxa" w:w="2160"/>
          </w:tcPr>
          <w:p>
            <w:r>
              <w:t>Net worth</w:t>
            </w:r>
          </w:p>
        </w:tc>
        <w:tc>
          <w:tcPr>
            <w:tcW w:type="dxa" w:w="2160"/>
          </w:tcPr>
          <w:p>
            <w:r>
              <w:t>₹136.00 Cr</w:t>
            </w:r>
          </w:p>
        </w:tc>
        <w:tc>
          <w:tcPr>
            <w:tcW w:type="dxa" w:w="2160"/>
          </w:tcPr>
          <w:p>
            <w:r>
              <w:t>₹149.00 Cr</w:t>
            </w:r>
          </w:p>
        </w:tc>
        <w:tc>
          <w:tcPr>
            <w:tcW w:type="dxa" w:w="2160"/>
          </w:tcPr>
          <w:p>
            <w:r>
              <w:t>₹165.00 Cr</w:t>
            </w:r>
          </w:p>
        </w:tc>
      </w:tr>
      <w:tr>
        <w:tc>
          <w:tcPr>
            <w:tcW w:type="dxa" w:w="2160"/>
          </w:tcPr>
          <w:p>
            <w:r>
              <w:t>Debt / EBITDA</w:t>
            </w:r>
          </w:p>
        </w:tc>
        <w:tc>
          <w:tcPr>
            <w:tcW w:type="dxa" w:w="2160"/>
          </w:tcPr>
          <w:p>
            <w:r>
              <w:t>3.61x</w:t>
            </w:r>
          </w:p>
        </w:tc>
        <w:tc>
          <w:tcPr>
            <w:tcW w:type="dxa" w:w="2160"/>
          </w:tcPr>
          <w:p>
            <w:r>
              <w:t>2.92x</w:t>
            </w:r>
          </w:p>
        </w:tc>
        <w:tc>
          <w:tcPr>
            <w:tcW w:type="dxa" w:w="2160"/>
          </w:tcPr>
          <w:p>
            <w:r>
              <w:t>2.30x</w:t>
            </w:r>
          </w:p>
        </w:tc>
      </w:tr>
      <w:tr>
        <w:tc>
          <w:tcPr>
            <w:tcW w:type="dxa" w:w="2160"/>
          </w:tcPr>
          <w:p>
            <w:r>
              <w:t>Debt / Equity</w:t>
            </w:r>
          </w:p>
        </w:tc>
        <w:tc>
          <w:tcPr>
            <w:tcW w:type="dxa" w:w="2160"/>
          </w:tcPr>
          <w:p>
            <w:r>
              <w:t>0.67x</w:t>
            </w:r>
          </w:p>
        </w:tc>
        <w:tc>
          <w:tcPr>
            <w:tcW w:type="dxa" w:w="2160"/>
          </w:tcPr>
          <w:p>
            <w:r>
              <w:t>0.57x</w:t>
            </w:r>
          </w:p>
        </w:tc>
        <w:tc>
          <w:tcPr>
            <w:tcW w:type="dxa" w:w="2160"/>
          </w:tcPr>
          <w:p>
            <w:r>
              <w:t>0.47x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4.27x</w:t>
            </w:r>
          </w:p>
        </w:tc>
        <w:tc>
          <w:tcPr>
            <w:tcW w:type="dxa" w:w="2160"/>
          </w:tcPr>
          <w:p>
            <w:r>
              <w:t>2.53x</w:t>
            </w:r>
          </w:p>
        </w:tc>
        <w:tc>
          <w:tcPr>
            <w:tcW w:type="dxa" w:w="2160"/>
          </w:tcPr>
          <w:p>
            <w:r>
              <w:t>3.03x</w:t>
            </w:r>
          </w:p>
        </w:tc>
      </w:tr>
      <w:tr>
        <w:tc>
          <w:tcPr>
            <w:tcW w:type="dxa" w:w="2160"/>
          </w:tcPr>
          <w:p>
            <w:r>
              <w:t>Interest coverage</w:t>
            </w:r>
          </w:p>
        </w:tc>
        <w:tc>
          <w:tcPr>
            <w:tcW w:type="dxa" w:w="2160"/>
          </w:tcPr>
          <w:p>
            <w:r>
              <w:t>4.27x</w:t>
            </w:r>
          </w:p>
        </w:tc>
        <w:tc>
          <w:tcPr>
            <w:tcW w:type="dxa" w:w="2160"/>
          </w:tcPr>
          <w:p>
            <w:r>
              <w:t>5.29x</w:t>
            </w:r>
          </w:p>
        </w:tc>
        <w:tc>
          <w:tcPr>
            <w:tcW w:type="dxa" w:w="2160"/>
          </w:tcPr>
          <w:p>
            <w:r>
              <w:t>6.52x</w:t>
            </w:r>
          </w:p>
        </w:tc>
      </w:tr>
      <w:tr>
        <w:tc>
          <w:tcPr>
            <w:tcW w:type="dxa" w:w="2160"/>
          </w:tcPr>
          <w:p>
            <w:r>
              <w:t>Current ratio</w:t>
            </w:r>
          </w:p>
        </w:tc>
        <w:tc>
          <w:tcPr>
            <w:tcW w:type="dxa" w:w="2160"/>
          </w:tcPr>
          <w:p>
            <w:r>
              <w:t>1.40x</w:t>
            </w:r>
          </w:p>
        </w:tc>
        <w:tc>
          <w:tcPr>
            <w:tcW w:type="dxa" w:w="2160"/>
          </w:tcPr>
          <w:p>
            <w:r>
              <w:t>1.49x</w:t>
            </w:r>
          </w:p>
        </w:tc>
        <w:tc>
          <w:tcPr>
            <w:tcW w:type="dxa" w:w="2160"/>
          </w:tcPr>
          <w:p>
            <w:r>
              <w:t>1.59x</w:t>
            </w:r>
          </w:p>
        </w:tc>
      </w:tr>
      <w:tr>
        <w:tc>
          <w:tcPr>
            <w:tcW w:type="dxa" w:w="2160"/>
          </w:tcPr>
          <w:p>
            <w:r>
              <w:t>Receivable days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57</w:t>
            </w:r>
          </w:p>
        </w:tc>
      </w:tr>
    </w:tbl>
    <w:p>
      <w:r>
        <w:rPr>
          <w:i/>
        </w:rPr>
        <w:t>Figures extracted from uploaded statements; each value carries document/page provenance in CredX.</w:t>
      </w:r>
    </w:p>
    <w:p>
      <w:pPr>
        <w:pStyle w:val="Heading1"/>
      </w:pPr>
      <w:r>
        <w:t>5. Banking Conduct &amp; GST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</w:tr>
      <w:tr>
        <w:tc>
          <w:tcPr>
            <w:tcW w:type="dxa" w:w="2880"/>
          </w:tcPr>
          <w:p>
            <w:r>
              <w:t>GSTR-2A/2B vs GSTR-3B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3B ₹242.00 Cr vs 2A/2B ₹239.10 Cr — variance 1.2% (tolerance 5%).</w:t>
            </w:r>
          </w:p>
        </w:tc>
      </w:tr>
      <w:tr>
        <w:tc>
          <w:tcPr>
            <w:tcW w:type="dxa" w:w="2880"/>
          </w:tcPr>
          <w:p>
            <w:r>
              <w:t>GSTR-1 vs GSTR-3B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Outward supplies declared ₹241.60 Cr vs tax paid on ₹242.00 Cr (0.2%).</w:t>
            </w:r>
          </w:p>
        </w:tc>
      </w:tr>
      <w:tr>
        <w:tc>
          <w:tcPr>
            <w:tcW w:type="dxa" w:w="2880"/>
          </w:tcPr>
          <w:p>
            <w:r>
              <w:t>Bank credits vs GST turnover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Annualised bank credits ₹266.39 Cr are 93% of GST turnover incl. tax.</w:t>
            </w:r>
          </w:p>
        </w:tc>
      </w:tr>
      <w:tr>
        <w:tc>
          <w:tcPr>
            <w:tcW w:type="dxa" w:w="2880"/>
          </w:tcPr>
          <w:p>
            <w:r>
              <w:t>Book revenue vs GST turnover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Financial-statement revenue ₹242.00 Cr vs GST turnover ₹242.00 Cr (0.0%).</w:t>
            </w:r>
          </w:p>
        </w:tc>
      </w:tr>
      <w:tr>
        <w:tc>
          <w:tcPr>
            <w:tcW w:type="dxa" w:w="2880"/>
          </w:tcPr>
          <w:p>
            <w:r>
              <w:t>GSTIN validity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 GSTIN(s) pass checksum and state-code validation.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Statement</w:t>
            </w:r>
          </w:p>
        </w:tc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Credits</w:t>
            </w:r>
          </w:p>
        </w:tc>
        <w:tc>
          <w:tcPr>
            <w:tcW w:type="dxa" w:w="1440"/>
          </w:tcPr>
          <w:p>
            <w:r>
              <w:t>Closing bal.</w:t>
            </w:r>
          </w:p>
        </w:tc>
        <w:tc>
          <w:tcPr>
            <w:tcW w:type="dxa" w:w="1440"/>
          </w:tcPr>
          <w:p>
            <w:r>
              <w:t>Bounces</w:t>
            </w:r>
          </w:p>
        </w:tc>
        <w:tc>
          <w:tcPr>
            <w:tcW w:type="dxa" w:w="1440"/>
          </w:tcPr>
          <w:p>
            <w:r>
              <w:t>Overdrawn days</w:t>
            </w:r>
          </w:p>
        </w:tc>
      </w:tr>
      <w:tr>
        <w:tc>
          <w:tcPr>
            <w:tcW w:type="dxa" w:w="1440"/>
          </w:tcPr>
          <w:p>
            <w:r>
              <w:t>bank_statement_Oct24-Mar25.pdf</w:t>
            </w:r>
          </w:p>
        </w:tc>
        <w:tc>
          <w:tcPr>
            <w:tcW w:type="dxa" w:w="1440"/>
          </w:tcPr>
          <w:p>
            <w:r>
              <w:t>XXXX2281</w:t>
            </w:r>
          </w:p>
        </w:tc>
        <w:tc>
          <w:tcPr>
            <w:tcW w:type="dxa" w:w="1440"/>
          </w:tcPr>
          <w:p>
            <w:r>
              <w:t>₹133.19 Cr</w:t>
            </w:r>
          </w:p>
        </w:tc>
        <w:tc>
          <w:tcPr>
            <w:tcW w:type="dxa" w:w="1440"/>
          </w:tcPr>
          <w:p>
            <w:r>
              <w:t>₹1.50 Cr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1"/>
      </w:pPr>
      <w:r>
        <w:t>6. Promoter, Litigation &amp; Market Intelligence</w:t>
      </w:r>
    </w:p>
    <w:p>
      <w:r>
        <w:t>4 external items were reviewed for Sunline Processors Limited; overall promoter/company sentiment is positive. Supportive developments: Sunline Processors rating reaffirmed at A-/Stable [2]; Sunline bags multi-year dehydrated-onion export order from Middle East retailer [3]. Litigation exposure is low (score 0/100 across 0 matter(s)). Sector view (Food &amp; Agro Processing): outlook strong; key headwind — monsoon and crop-price volatility.</w:t>
      </w:r>
    </w:p>
    <w:p>
      <w:pPr>
        <w:pStyle w:val="ListBullet"/>
      </w:pPr>
      <w:r>
        <w:t>Litigation risk: LOW</w:t>
      </w:r>
    </w:p>
    <w:p>
      <w:pPr>
        <w:pStyle w:val="ListBullet"/>
      </w:pPr>
      <w:r>
        <w:t>Promoter sentiment: POSITIVE</w:t>
      </w:r>
    </w:p>
    <w:p>
      <w:pPr>
        <w:pStyle w:val="ListBullet"/>
      </w:pPr>
      <w:r>
        <w:t>Sector outlook: STRONG</w:t>
      </w:r>
    </w:p>
    <w:p>
      <w:pPr>
        <w:pStyle w:val="ListBullet"/>
      </w:pPr>
      <w:r>
        <w:t>Overall external risk: LOW</w:t>
      </w:r>
    </w:p>
    <w:p>
      <w:pPr>
        <w:pStyle w:val="ListBullet"/>
      </w:pPr>
      <w:r>
        <w:t>[LOW] Sunline Processors commissions new cold-chain facility in Rajkot — AgriBiz Today (demo) (demo data)</w:t>
      </w:r>
    </w:p>
    <w:p>
      <w:pPr>
        <w:pStyle w:val="ListBullet"/>
      </w:pPr>
      <w:r>
        <w:t>[LOW] Sunline Processors rating reaffirmed at A-/Stable — Rating Desk India (demo) (demo data)</w:t>
      </w:r>
    </w:p>
    <w:p>
      <w:pPr>
        <w:pStyle w:val="ListBullet"/>
      </w:pPr>
      <w:r>
        <w:t>[LOW] Sunline bags multi-year dehydrated-onion export order from Middle East retailer — Export Times (demo) (demo data)</w:t>
      </w:r>
    </w:p>
    <w:p>
      <w:pPr>
        <w:pStyle w:val="ListBullet"/>
      </w:pPr>
      <w:r>
        <w:t>[LOW] FSSAI renews Sunline Processors' central licence after routine inspection — Gujarat Industry News (demo) (demo data)</w:t>
      </w:r>
    </w:p>
    <w:p>
      <w:pPr>
        <w:pStyle w:val="Heading1"/>
      </w:pPr>
      <w:r>
        <w:t>7. Sector &amp; Regulatory Conditions</w:t>
      </w:r>
    </w:p>
    <w:p>
      <w:r>
        <w:t>Food &amp; Agro Processing — outlook STRONG, sector risk band 2/5 (knowledge base 2026.10).</w:t>
      </w:r>
    </w:p>
    <w:p>
      <w:r>
        <w:rPr>
          <w:b/>
        </w:rPr>
        <w:t>Headwinds</w:t>
      </w:r>
    </w:p>
    <w:p>
      <w:pPr>
        <w:pStyle w:val="ListBullet"/>
      </w:pPr>
      <w:r>
        <w:t>Monsoon and crop-price volatility</w:t>
      </w:r>
    </w:p>
    <w:p>
      <w:pPr>
        <w:pStyle w:val="ListBullet"/>
      </w:pPr>
      <w:r>
        <w:t>Export restrictions on select commodities</w:t>
      </w:r>
    </w:p>
    <w:p>
      <w:r>
        <w:rPr>
          <w:b/>
        </w:rPr>
        <w:t>Tailwinds</w:t>
      </w:r>
    </w:p>
    <w:p>
      <w:pPr>
        <w:pStyle w:val="ListBullet"/>
      </w:pPr>
      <w:r>
        <w:t>PLI for food processing</w:t>
      </w:r>
    </w:p>
    <w:p>
      <w:pPr>
        <w:pStyle w:val="ListBullet"/>
      </w:pPr>
      <w:r>
        <w:t>PM Kisan SAMPADA cold-chain support</w:t>
      </w:r>
    </w:p>
    <w:p>
      <w:pPr>
        <w:pStyle w:val="ListBullet"/>
      </w:pPr>
      <w:r>
        <w:t>Rising packaged-food demand</w:t>
      </w:r>
    </w:p>
    <w:p>
      <w:r>
        <w:rPr>
          <w:b/>
        </w:rPr>
        <w:t>RBI / regulatory context</w:t>
      </w:r>
    </w:p>
    <w:p>
      <w:pPr>
        <w:pStyle w:val="ListBullet"/>
      </w:pPr>
      <w:r>
        <w:t>Food &amp; agro-processing loans may qualify under priority-sector (agriculture/MSME)</w:t>
      </w:r>
    </w:p>
    <w:p>
      <w:pPr>
        <w:pStyle w:val="ListBullet"/>
      </w:pPr>
      <w:r>
        <w:t>Warehouse receipt finance via WDRA-registered warehouses</w:t>
      </w:r>
    </w:p>
    <w:p>
      <w:pPr>
        <w:pStyle w:val="Heading1"/>
      </w:pPr>
      <w:r>
        <w:t>8. Fraud &amp; Forensic Observations</w:t>
      </w:r>
    </w:p>
    <w:p>
      <w:r>
        <w:t>Fraud risk score 0/100 (LOW). Graph of 7 companies and 10 relationships analysed. No circular trading loops found. GST reconciliation within tolerance.</w:t>
      </w:r>
    </w:p>
    <w:p>
      <w:pPr>
        <w:pStyle w:val="ListBullet"/>
      </w:pPr>
      <w:r>
        <w:t>No graph or GST forensic alerts.</w:t>
      </w:r>
    </w:p>
    <w:p>
      <w:pPr>
        <w:pStyle w:val="Heading1"/>
      </w:pPr>
      <w:r>
        <w:t>9. Five Cs of Credit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Assessment</w:t>
            </w:r>
          </w:p>
        </w:tc>
        <w:tc>
          <w:tcPr>
            <w:tcW w:type="dxa" w:w="2160"/>
          </w:tcPr>
          <w:p>
            <w:r>
              <w:t>Key evidence</w:t>
            </w:r>
          </w:p>
        </w:tc>
      </w:tr>
      <w:tr>
        <w:tc>
          <w:tcPr>
            <w:tcW w:type="dxa" w:w="2160"/>
          </w:tcPr>
          <w:p>
            <w:r>
              <w:t>Character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Strong</w:t>
            </w:r>
          </w:p>
        </w:tc>
        <w:tc>
          <w:tcPr>
            <w:tcW w:type="dxa" w:w="2160"/>
          </w:tcPr>
          <w:p>
            <w:r>
              <w:t>Fraud risk score: 0 (+29 pts); Promoter sentiment: +0.68 (+14 pts); Cheque/ECS bounces: 0 (+9 pts)</w:t>
            </w:r>
          </w:p>
        </w:tc>
      </w:tr>
      <w:tr>
        <w:tc>
          <w:tcPr>
            <w:tcW w:type="dxa" w:w="2160"/>
          </w:tcPr>
          <w:p>
            <w:r>
              <w:t>Capacity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Strong</w:t>
            </w:r>
          </w:p>
        </w:tc>
        <w:tc>
          <w:tcPr>
            <w:tcW w:type="dxa" w:w="2160"/>
          </w:tcPr>
          <w:p>
            <w:r>
              <w:t>Debt service coverage: 3.03x (+39 pts); Current ratio: 1.59x (+13 pts); Interest coverage: 6.52x (+11 pts)</w:t>
            </w:r>
          </w:p>
        </w:tc>
      </w:tr>
      <w:tr>
        <w:tc>
          <w:tcPr>
            <w:tcW w:type="dxa" w:w="2160"/>
          </w:tcPr>
          <w:p>
            <w:r>
              <w:t>Capital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Adequate</w:t>
            </w:r>
          </w:p>
        </w:tc>
        <w:tc>
          <w:tcPr>
            <w:tcW w:type="dxa" w:w="2160"/>
          </w:tcPr>
          <w:p>
            <w:r>
              <w:t>Debt / EBITDA: 2.30x (+4 pts); Debt / equity: 0.47x (+4 pts); Promoter pledge: 0.0% (+2 pts)</w:t>
            </w:r>
          </w:p>
        </w:tc>
      </w:tr>
      <w:tr>
        <w:tc>
          <w:tcPr>
            <w:tcW w:type="dxa" w:w="2160"/>
          </w:tcPr>
          <w:p>
            <w:r>
              <w:t>Collateral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Adequate</w:t>
            </w:r>
          </w:p>
        </w:tc>
        <w:tc>
          <w:tcPr>
            <w:tcW w:type="dxa" w:w="2160"/>
          </w:tcPr>
          <w:p>
            <w:r>
              <w:t>Offered security: Equitable mortgage of factory land &amp; building, Metoda; hypothecation of plant; Collateral coverage: 1.70x (+3 pts); Collateral verified — clear and marketable title per legal scrutiny report; valuation ₹68 crore. (+8 pts, analyst note)</w:t>
            </w:r>
          </w:p>
        </w:tc>
      </w:tr>
      <w:tr>
        <w:tc>
          <w:tcPr>
            <w:tcW w:type="dxa" w:w="2160"/>
          </w:tcPr>
          <w:p>
            <w:r>
              <w:t>Conditions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Adequate</w:t>
            </w:r>
          </w:p>
        </w:tc>
        <w:tc>
          <w:tcPr>
            <w:tcW w:type="dxa" w:w="2160"/>
          </w:tcPr>
          <w:p>
            <w:r>
              <w:t>Revenue growth: 13.1% (+6 pts); Sector risk: 2 (+5 pts); Sector: Food &amp; Agro Processing — outlook STRONG</w:t>
            </w:r>
          </w:p>
        </w:tc>
      </w:tr>
    </w:tbl>
    <w:p>
      <w:pPr>
        <w:pStyle w:val="Heading1"/>
      </w:pPr>
      <w:r>
        <w:t>10. Risk Rating &amp; Explainability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Score impact</w:t>
            </w:r>
          </w:p>
        </w:tc>
        <w:tc>
          <w:tcPr>
            <w:tcW w:type="dxa" w:w="2160"/>
          </w:tcPr>
          <w:p>
            <w:r>
              <w:t>Five C</w:t>
            </w:r>
          </w:p>
        </w:tc>
      </w:tr>
      <w:tr>
        <w:tc>
          <w:tcPr>
            <w:tcW w:type="dxa" w:w="2160"/>
          </w:tcPr>
          <w:p>
            <w:r>
              <w:t>Debt service coverage</w:t>
            </w:r>
          </w:p>
        </w:tc>
        <w:tc>
          <w:tcPr>
            <w:tcW w:type="dxa" w:w="2160"/>
          </w:tcPr>
          <w:p>
            <w:r>
              <w:t>3.03x</w:t>
            </w:r>
          </w:p>
        </w:tc>
        <w:tc>
          <w:tcPr>
            <w:tcW w:type="dxa" w:w="2160"/>
          </w:tcPr>
          <w:p>
            <w:r>
              <w:t>+39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Fraud risk score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+29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Promoter sentiment</w:t>
            </w:r>
          </w:p>
        </w:tc>
        <w:tc>
          <w:tcPr>
            <w:tcW w:type="dxa" w:w="2160"/>
          </w:tcPr>
          <w:p>
            <w:r>
              <w:t>+0.68</w:t>
            </w:r>
          </w:p>
        </w:tc>
        <w:tc>
          <w:tcPr>
            <w:tcW w:type="dxa" w:w="2160"/>
          </w:tcPr>
          <w:p>
            <w:r>
              <w:t>+14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Current ratio</w:t>
            </w:r>
          </w:p>
        </w:tc>
        <w:tc>
          <w:tcPr>
            <w:tcW w:type="dxa" w:w="2160"/>
          </w:tcPr>
          <w:p>
            <w:r>
              <w:t>1.59x</w:t>
            </w:r>
          </w:p>
        </w:tc>
        <w:tc>
          <w:tcPr>
            <w:tcW w:type="dxa" w:w="2160"/>
          </w:tcPr>
          <w:p>
            <w:r>
              <w:t>+13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Interest coverage</w:t>
            </w:r>
          </w:p>
        </w:tc>
        <w:tc>
          <w:tcPr>
            <w:tcW w:type="dxa" w:w="2160"/>
          </w:tcPr>
          <w:p>
            <w:r>
              <w:t>6.52x</w:t>
            </w:r>
          </w:p>
        </w:tc>
        <w:tc>
          <w:tcPr>
            <w:tcW w:type="dxa" w:w="2160"/>
          </w:tcPr>
          <w:p>
            <w:r>
              <w:t>+11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Cheque/ECS bounces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+9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Cash-flow volatility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+8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Litigation intensity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+7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Revenue growth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+6</w:t>
            </w:r>
          </w:p>
        </w:tc>
        <w:tc>
          <w:tcPr>
            <w:tcW w:type="dxa" w:w="2160"/>
          </w:tcPr>
          <w:p>
            <w:r>
              <w:t>Conditions</w:t>
            </w:r>
          </w:p>
        </w:tc>
      </w:tr>
      <w:tr>
        <w:tc>
          <w:tcPr>
            <w:tcW w:type="dxa" w:w="2160"/>
          </w:tcPr>
          <w:p>
            <w:r>
              <w:t>Business vintage</w:t>
            </w:r>
          </w:p>
        </w:tc>
        <w:tc>
          <w:tcPr>
            <w:tcW w:type="dxa" w:w="2160"/>
          </w:tcPr>
          <w:p>
            <w:r>
              <w:t>22 yrs</w:t>
            </w:r>
          </w:p>
        </w:tc>
        <w:tc>
          <w:tcPr>
            <w:tcW w:type="dxa" w:w="2160"/>
          </w:tcPr>
          <w:p>
            <w:r>
              <w:t>+5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Sector risk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+5</w:t>
            </w:r>
          </w:p>
        </w:tc>
        <w:tc>
          <w:tcPr>
            <w:tcW w:type="dxa" w:w="2160"/>
          </w:tcPr>
          <w:p>
            <w:r>
              <w:t>Conditions</w:t>
            </w:r>
          </w:p>
        </w:tc>
      </w:tr>
      <w:tr>
        <w:tc>
          <w:tcPr>
            <w:tcW w:type="dxa" w:w="2160"/>
          </w:tcPr>
          <w:p>
            <w:r>
              <w:t>Debt / EBITDA</w:t>
            </w:r>
          </w:p>
        </w:tc>
        <w:tc>
          <w:tcPr>
            <w:tcW w:type="dxa" w:w="2160"/>
          </w:tcPr>
          <w:p>
            <w:r>
              <w:t>2.30x</w:t>
            </w:r>
          </w:p>
        </w:tc>
        <w:tc>
          <w:tcPr>
            <w:tcW w:type="dxa" w:w="2160"/>
          </w:tcPr>
          <w:p>
            <w:r>
              <w:t>+4</w:t>
            </w:r>
          </w:p>
        </w:tc>
        <w:tc>
          <w:tcPr>
            <w:tcW w:type="dxa" w:w="2160"/>
          </w:tcPr>
          <w:p>
            <w:r>
              <w:t>Capital</w:t>
            </w:r>
          </w:p>
        </w:tc>
      </w:tr>
      <w:tr>
        <w:tc>
          <w:tcPr>
            <w:tcW w:type="dxa" w:w="2160"/>
          </w:tcPr>
          <w:p>
            <w:r>
              <w:t>Overlay: Site visit satisfactory: plant well maintained, both dehydra</w:t>
            </w:r>
          </w:p>
        </w:tc>
        <w:tc>
          <w:tcPr>
            <w:tcW w:type="dxa" w:w="2160"/>
          </w:tcPr>
          <w:p>
            <w:r>
              <w:t>analyst note</w:t>
            </w:r>
          </w:p>
        </w:tc>
        <w:tc>
          <w:tcPr>
            <w:tcW w:type="dxa" w:w="2160"/>
          </w:tcPr>
          <w:p>
            <w:r>
              <w:t>+14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Overlay: Collateral verified — clear and marketable title per legal s</w:t>
            </w:r>
          </w:p>
        </w:tc>
        <w:tc>
          <w:tcPr>
            <w:tcW w:type="dxa" w:w="2160"/>
          </w:tcPr>
          <w:p>
            <w:r>
              <w:t>analyst note</w:t>
            </w:r>
          </w:p>
        </w:tc>
        <w:tc>
          <w:tcPr>
            <w:tcW w:type="dxa" w:w="2160"/>
          </w:tcPr>
          <w:p>
            <w:r>
              <w:t>+8</w:t>
            </w:r>
          </w:p>
        </w:tc>
        <w:tc>
          <w:tcPr>
            <w:tcW w:type="dxa" w:w="2160"/>
          </w:tcPr>
          <w:p>
            <w:r>
              <w:t>Collateral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Policy rule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KO-01 Wilful defaulter / RBI defaulter list</w:t>
            </w:r>
          </w:p>
        </w:tc>
        <w:tc>
          <w:tcPr>
            <w:tcW w:type="dxa" w:w="2160"/>
          </w:tcPr>
          <w:p>
            <w:r>
              <w:t>Not on list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KO-02 Existing NPA / SMA-2 classification</w:t>
            </w:r>
          </w:p>
        </w:tc>
        <w:tc>
          <w:tcPr>
            <w:tcW w:type="dxa" w:w="2160"/>
          </w:tcPr>
          <w:p>
            <w:r>
              <w:t>Standard asset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KO-03 Admitted insolvency proceedings</w:t>
            </w:r>
          </w:p>
        </w:tc>
        <w:tc>
          <w:tcPr>
            <w:tcW w:type="dxa" w:w="2160"/>
          </w:tcPr>
          <w:p>
            <w:r>
              <w:t>No CIRP admitted</w:t>
            </w:r>
          </w:p>
        </w:tc>
        <w:tc>
          <w:tcPr>
            <w:tcW w:type="dxa" w:w="2160"/>
          </w:tcPr>
          <w:p>
            <w:r>
              <w:t>none admitted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KO-04 Fraud risk score</w:t>
            </w:r>
          </w:p>
        </w:tc>
        <w:tc>
          <w:tcPr>
            <w:tcW w:type="dxa" w:w="2160"/>
          </w:tcPr>
          <w:p>
            <w:r>
              <w:t>&lt; 75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KO-05 Debt service coverage</w:t>
            </w:r>
          </w:p>
        </w:tc>
        <w:tc>
          <w:tcPr>
            <w:tcW w:type="dxa" w:w="2160"/>
          </w:tcPr>
          <w:p>
            <w:r>
              <w:t>&gt;= 0.90x</w:t>
            </w:r>
          </w:p>
        </w:tc>
        <w:tc>
          <w:tcPr>
            <w:tcW w:type="dxa" w:w="2160"/>
          </w:tcPr>
          <w:p>
            <w:r>
              <w:t>3.03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DV-01 Minimum DSCR</w:t>
            </w:r>
          </w:p>
        </w:tc>
        <w:tc>
          <w:tcPr>
            <w:tcW w:type="dxa" w:w="2160"/>
          </w:tcPr>
          <w:p>
            <w:r>
              <w:t>&gt;= 1.25x</w:t>
            </w:r>
          </w:p>
        </w:tc>
        <w:tc>
          <w:tcPr>
            <w:tcW w:type="dxa" w:w="2160"/>
          </w:tcPr>
          <w:p>
            <w:r>
              <w:t>3.03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DV-02 Maximum Debt / EBITDA</w:t>
            </w:r>
          </w:p>
        </w:tc>
        <w:tc>
          <w:tcPr>
            <w:tcW w:type="dxa" w:w="2160"/>
          </w:tcPr>
          <w:p>
            <w:r>
              <w:t>&lt;= 4.0x</w:t>
            </w:r>
          </w:p>
        </w:tc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DV-03 Maximum Debt / Equity</w:t>
            </w:r>
          </w:p>
        </w:tc>
        <w:tc>
          <w:tcPr>
            <w:tcW w:type="dxa" w:w="2160"/>
          </w:tcPr>
          <w:p>
            <w:r>
              <w:t>&lt;= 3.0x</w:t>
            </w:r>
          </w:p>
        </w:tc>
        <w:tc>
          <w:tcPr>
            <w:tcW w:type="dxa" w:w="2160"/>
          </w:tcPr>
          <w:p>
            <w:r>
              <w:t>0.47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DV-04 Minimum current ratio</w:t>
            </w:r>
          </w:p>
        </w:tc>
        <w:tc>
          <w:tcPr>
            <w:tcW w:type="dxa" w:w="2160"/>
          </w:tcPr>
          <w:p>
            <w:r>
              <w:t>&gt;= 1.10x</w:t>
            </w:r>
          </w:p>
        </w:tc>
        <w:tc>
          <w:tcPr>
            <w:tcW w:type="dxa" w:w="2160"/>
          </w:tcPr>
          <w:p>
            <w:r>
              <w:t>1.59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DV-05 GST turnover reconciliation</w:t>
            </w:r>
          </w:p>
        </w:tc>
        <w:tc>
          <w:tcPr>
            <w:tcW w:type="dxa" w:w="2160"/>
          </w:tcPr>
          <w:p>
            <w:r>
              <w:t>&lt;= 10% variance</w:t>
            </w:r>
          </w:p>
        </w:tc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DV-06 Promoter pledge</w:t>
            </w:r>
          </w:p>
        </w:tc>
        <w:tc>
          <w:tcPr>
            <w:tcW w:type="dxa" w:w="2160"/>
          </w:tcPr>
          <w:p>
            <w:r>
              <w:t>&lt;= 50%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DV-07 Collateral coverage</w:t>
            </w:r>
          </w:p>
        </w:tc>
        <w:tc>
          <w:tcPr>
            <w:tcW w:type="dxa" w:w="2160"/>
          </w:tcPr>
          <w:p>
            <w:r>
              <w:t>&gt;= 1.0x</w:t>
            </w:r>
          </w:p>
        </w:tc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DV-08 Litigation intensity</w:t>
            </w:r>
          </w:p>
        </w:tc>
        <w:tc>
          <w:tcPr>
            <w:tcW w:type="dxa" w:w="2160"/>
          </w:tcPr>
          <w:p>
            <w:r>
              <w:t>&lt;= 60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DV-09 Cheque/ECS bounces (6m)</w:t>
            </w:r>
          </w:p>
        </w:tc>
        <w:tc>
          <w:tcPr>
            <w:tcW w:type="dxa" w:w="2160"/>
          </w:tcPr>
          <w:p>
            <w:r>
              <w:t>&lt;= 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DV-10 Going-concern / audit qualification</w:t>
            </w:r>
          </w:p>
        </w:tc>
        <w:tc>
          <w:tcPr>
            <w:tcW w:type="dxa" w:w="2160"/>
          </w:tcPr>
          <w:p>
            <w:r>
              <w:t>Clean opinion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rPr>
          <w:i/>
        </w:rPr>
        <w:t>Model score 825 = base 657 pts + feature points (exact TreeSHAP attribution, PDO-scaled); overlays +22 pts give final score 847. Model xgb-20261004-131921 (AUC 0.8764).</w:t>
      </w:r>
    </w:p>
    <w:p>
      <w:pPr>
        <w:pStyle w:val="Heading1"/>
      </w:pPr>
      <w:r>
        <w:t>11. Analyst Observations</w:t>
      </w:r>
    </w:p>
    <w:p>
      <w:r>
        <w:t>2 qualitative observation(s) recorded by the underwriting team.</w:t>
      </w:r>
    </w:p>
    <w:p>
      <w:pPr>
        <w:pStyle w:val="ListBullet"/>
      </w:pPr>
      <w:r>
        <w:t>Site Visit: Site visit satisfactory: plant well maintained, both dehydration lines running near 85% capacity utilisation. (score impact +14 pts)</w:t>
      </w:r>
    </w:p>
    <w:p>
      <w:pPr>
        <w:pStyle w:val="ListBullet"/>
      </w:pPr>
      <w:r>
        <w:t>Collateral: Collateral verified — clear and marketable title per legal scrutiny report; valuation ₹68 crore. (score impact +8 pts)</w:t>
      </w:r>
    </w:p>
    <w:p>
      <w:pPr>
        <w:pStyle w:val="Heading1"/>
      </w:pPr>
      <w:r>
        <w:t>12. Loan Sizing &amp; Risk-Based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Eligible amount</w:t>
            </w:r>
          </w:p>
        </w:tc>
        <w:tc>
          <w:tcPr>
            <w:tcW w:type="dxa" w:w="2880"/>
          </w:tcPr>
          <w:p>
            <w:r>
              <w:t>Basis</w:t>
            </w:r>
          </w:p>
        </w:tc>
      </w:tr>
      <w:tr>
        <w:tc>
          <w:tcPr>
            <w:tcW w:type="dxa" w:w="2880"/>
          </w:tcPr>
          <w:p>
            <w:r>
              <w:t>Requested amount ★</w:t>
            </w:r>
          </w:p>
        </w:tc>
        <w:tc>
          <w:tcPr>
            <w:tcW w:type="dxa" w:w="2880"/>
          </w:tcPr>
          <w:p>
            <w:r>
              <w:t>₹40.00 Cr</w:t>
            </w:r>
          </w:p>
        </w:tc>
        <w:tc>
          <w:tcPr>
            <w:tcW w:type="dxa" w:w="2880"/>
          </w:tcPr>
          <w:p>
            <w:r>
              <w:t>Applicant request</w:t>
            </w:r>
          </w:p>
        </w:tc>
      </w:tr>
      <w:tr>
        <w:tc>
          <w:tcPr>
            <w:tcW w:type="dxa" w:w="2880"/>
          </w:tcPr>
          <w:p>
            <w:r>
              <w:t>DSCR capacity</w:t>
            </w:r>
          </w:p>
        </w:tc>
        <w:tc>
          <w:tcPr>
            <w:tcW w:type="dxa" w:w="2880"/>
          </w:tcPr>
          <w:p>
            <w:r>
              <w:t>₹61.12 Cr</w:t>
            </w:r>
          </w:p>
        </w:tc>
        <w:tc>
          <w:tcPr>
            <w:tcW w:type="dxa" w:w="2880"/>
          </w:tcPr>
          <w:p>
            <w:r>
              <w:t>EBITDA / 1.35x target DSCR less existing debt service, 6-yr annuity @ 9.70%</w:t>
            </w:r>
          </w:p>
        </w:tc>
      </w:tr>
      <w:tr>
        <w:tc>
          <w:tcPr>
            <w:tcW w:type="dxa" w:w="2880"/>
          </w:tcPr>
          <w:p>
            <w:r>
              <w:t>Leverage ceiling</w:t>
            </w:r>
          </w:p>
        </w:tc>
        <w:tc>
          <w:tcPr>
            <w:tcW w:type="dxa" w:w="2880"/>
          </w:tcPr>
          <w:p>
            <w:r>
              <w:t>₹91.50 Cr</w:t>
            </w:r>
          </w:p>
        </w:tc>
        <w:tc>
          <w:tcPr>
            <w:tcW w:type="dxa" w:w="2880"/>
          </w:tcPr>
          <w:p>
            <w:r>
              <w:t>5.00x Debt/EBITDA for grade less existing debt</w:t>
            </w:r>
          </w:p>
        </w:tc>
      </w:tr>
      <w:tr>
        <w:tc>
          <w:tcPr>
            <w:tcW w:type="dxa" w:w="2880"/>
          </w:tcPr>
          <w:p>
            <w:r>
              <w:t>Security cover</w:t>
            </w:r>
          </w:p>
        </w:tc>
        <w:tc>
          <w:tcPr>
            <w:tcW w:type="dxa" w:w="2880"/>
          </w:tcPr>
          <w:p>
            <w:r>
              <w:t>₹54.40 Cr</w:t>
            </w:r>
          </w:p>
        </w:tc>
        <w:tc>
          <w:tcPr>
            <w:tcW w:type="dxa" w:w="2880"/>
          </w:tcPr>
          <w:p>
            <w:r>
              <w:t>Collateral value / 1.25x minimum security cover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Pricing component</w:t>
            </w:r>
          </w:p>
        </w:tc>
        <w:tc>
          <w:tcPr>
            <w:tcW w:type="dxa" w:w="2880"/>
          </w:tcPr>
          <w:p>
            <w:r>
              <w:t>bps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Benchmark (EBLR/MCLR)</w:t>
            </w:r>
          </w:p>
        </w:tc>
        <w:tc>
          <w:tcPr>
            <w:tcW w:type="dxa" w:w="2880"/>
          </w:tcPr>
          <w:p>
            <w:r>
              <w:t>+925</w:t>
            </w:r>
          </w:p>
        </w:tc>
        <w:tc>
          <w:tcPr>
            <w:tcW w:type="dxa" w:w="2880"/>
          </w:tcPr>
          <w:p>
            <w:r>
              <w:t>Bank's external benchmark lending rate (RBI repo 5.50%)</w:t>
            </w:r>
          </w:p>
        </w:tc>
      </w:tr>
      <w:tr>
        <w:tc>
          <w:tcPr>
            <w:tcW w:type="dxa" w:w="2880"/>
          </w:tcPr>
          <w:p>
            <w:r>
              <w:t>Credit risk premium (CX1)</w:t>
            </w:r>
          </w:p>
        </w:tc>
        <w:tc>
          <w:tcPr>
            <w:tcW w:type="dxa" w:w="2880"/>
          </w:tcPr>
          <w:p>
            <w:r>
              <w:t>+50</w:t>
            </w:r>
          </w:p>
        </w:tc>
        <w:tc>
          <w:tcPr>
            <w:tcW w:type="dxa" w:w="2880"/>
          </w:tcPr>
          <w:p>
            <w:r>
              <w:t>Grade-linked spread</w:t>
            </w:r>
          </w:p>
        </w:tc>
      </w:tr>
      <w:tr>
        <w:tc>
          <w:tcPr>
            <w:tcW w:type="dxa" w:w="2880"/>
          </w:tcPr>
          <w:p>
            <w:r>
              <w:t>Tenor premium</w:t>
            </w:r>
          </w:p>
        </w:tc>
        <w:tc>
          <w:tcPr>
            <w:tcW w:type="dxa" w:w="2880"/>
          </w:tcPr>
          <w:p>
            <w:r>
              <w:t>+20</w:t>
            </w:r>
          </w:p>
        </w:tc>
        <w:tc>
          <w:tcPr>
            <w:tcW w:type="dxa" w:w="2880"/>
          </w:tcPr>
          <w:p>
            <w:r>
              <w:t>Tenor beyond 5 years</w:t>
            </w:r>
          </w:p>
        </w:tc>
      </w:tr>
      <w:tr>
        <w:tc>
          <w:tcPr>
            <w:tcW w:type="dxa" w:w="2880"/>
          </w:tcPr>
          <w:p>
            <w:r>
              <w:t>Collateral discount</w:t>
            </w:r>
          </w:p>
        </w:tc>
        <w:tc>
          <w:tcPr>
            <w:tcW w:type="dxa" w:w="2880"/>
          </w:tcPr>
          <w:p>
            <w:r>
              <w:t>-25</w:t>
            </w:r>
          </w:p>
        </w:tc>
        <w:tc>
          <w:tcPr>
            <w:tcW w:type="dxa" w:w="2880"/>
          </w:tcPr>
          <w:p>
            <w:r>
              <w:t>Security cover 1.70x</w:t>
            </w:r>
          </w:p>
        </w:tc>
      </w:tr>
      <w:tr>
        <w:tc>
          <w:tcPr>
            <w:tcW w:type="dxa" w:w="2880"/>
          </w:tcPr>
          <w:p>
            <w:r>
              <w:t>All-in rate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  <w:tc>
          <w:tcPr>
            <w:tcW w:type="dxa" w:w="2880"/>
          </w:tcPr>
          <w:p>
            <w:r>
              <w:t>Spread 0.45% over benchmark</w:t>
            </w:r>
          </w:p>
        </w:tc>
      </w:tr>
    </w:tbl>
    <w:p>
      <w:r>
        <w:rPr>
          <w:i/>
        </w:rPr>
        <w:t>Recommended ₹40.00 Cr; binding constraint: Requested amount.</w:t>
      </w:r>
    </w:p>
    <w:p>
      <w:pPr>
        <w:pStyle w:val="Heading1"/>
      </w:pPr>
      <w:r>
        <w:t>13. Recommendation &amp; Conditions</w:t>
      </w:r>
    </w:p>
    <w:p>
      <w:r>
        <w:t>Recommendation: Approve — ₹40.00 Cr at 9.7% p.a. for 72 months.</w:t>
      </w:r>
    </w:p>
    <w:p>
      <w:r>
        <w:rPr>
          <w:b/>
        </w:rPr>
        <w:t>Basis of recommendation</w:t>
      </w:r>
    </w:p>
    <w:p>
      <w:pPr>
        <w:pStyle w:val="ListBullet"/>
      </w:pPr>
      <w:r>
        <w:t>Score 847 with all evaluable policy rules passed</w:t>
      </w:r>
    </w:p>
    <w:p>
      <w:r>
        <w:rPr>
          <w:b/>
        </w:rPr>
        <w:t>Terms &amp; conditions</w:t>
      </w:r>
    </w:p>
    <w:p>
      <w:pPr>
        <w:pStyle w:val="ListBullet"/>
      </w:pPr>
      <w:r>
        <w:t>Standard: CERSAI registration of security, insurance with bank clause, annual review</w:t>
      </w:r>
    </w:p>
    <w:p>
      <w:r>
        <w:rPr>
          <w:b/>
        </w:rPr>
        <w:t>Mitigants / strengths</w:t>
      </w:r>
    </w:p>
    <w:p>
      <w:pPr>
        <w:pStyle w:val="ListBullet"/>
      </w:pPr>
      <w:r>
        <w:t>Debt service coverage 3.03x (+39 pts)</w:t>
      </w:r>
    </w:p>
    <w:p>
      <w:pPr>
        <w:pStyle w:val="ListBullet"/>
      </w:pPr>
      <w:r>
        <w:t>Fraud risk score 0 (+29 pts)</w:t>
      </w:r>
    </w:p>
    <w:p>
      <w:pPr>
        <w:pStyle w:val="ListBullet"/>
      </w:pPr>
      <w:r>
        <w:t>Promoter sentiment +0.68 (+14 pts)</w:t>
      </w:r>
    </w:p>
    <w:p>
      <w:pPr>
        <w:pStyle w:val="ListBullet"/>
      </w:pPr>
      <w:r>
        <w:t>Current ratio 1.59x (+13 pts)</w:t>
      </w:r>
    </w:p>
    <w:p>
      <w:pPr>
        <w:pStyle w:val="ListBullet"/>
      </w:pPr>
      <w:r>
        <w:t>Interest coverage 6.52x (+11 pts)</w:t>
      </w:r>
    </w:p>
    <w:p>
      <w:pPr>
        <w:pStyle w:val="Heading1"/>
      </w:pPr>
      <w:r>
        <w:t>Annexure — Documents Reviewed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Extraction confidence</w:t>
            </w:r>
          </w:p>
        </w:tc>
      </w:tr>
      <w:tr>
        <w:tc>
          <w:tcPr>
            <w:tcW w:type="dxa" w:w="2880"/>
          </w:tcPr>
          <w:p>
            <w:r>
              <w:t>annual_report_FY25.pdf</w:t>
            </w:r>
          </w:p>
        </w:tc>
        <w:tc>
          <w:tcPr>
            <w:tcW w:type="dxa" w:w="2880"/>
          </w:tcPr>
          <w:p>
            <w:r>
              <w:t>Financial Statement</w:t>
            </w:r>
          </w:p>
        </w:tc>
        <w:tc>
          <w:tcPr>
            <w:tcW w:type="dxa" w:w="2880"/>
          </w:tcPr>
          <w:p>
            <w:r>
              <w:t>91%</w:t>
            </w:r>
          </w:p>
        </w:tc>
      </w:tr>
      <w:tr>
        <w:tc>
          <w:tcPr>
            <w:tcW w:type="dxa" w:w="2880"/>
          </w:tcPr>
          <w:p>
            <w:r>
              <w:t>gst_returns_FY25.pdf</w:t>
            </w:r>
          </w:p>
        </w:tc>
        <w:tc>
          <w:tcPr>
            <w:tcW w:type="dxa" w:w="2880"/>
          </w:tcPr>
          <w:p>
            <w:r>
              <w:t>Gst Return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bank_statement_Oct24-Mar25.pdf</w:t>
            </w:r>
          </w:p>
        </w:tc>
        <w:tc>
          <w:tcPr>
            <w:tcW w:type="dxa" w:w="2880"/>
          </w:tcPr>
          <w:p>
            <w:r>
              <w:t>Bank Statement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mca_mgt7_extract.pdf</w:t>
            </w:r>
          </w:p>
        </w:tc>
        <w:tc>
          <w:tcPr>
            <w:tcW w:type="dxa" w:w="2880"/>
          </w:tcPr>
          <w:p>
            <w:r>
              <w:t>Mca Filing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shareholding_pattern.pdf</w:t>
            </w:r>
          </w:p>
        </w:tc>
        <w:tc>
          <w:tcPr>
            <w:tcW w:type="dxa" w:w="2880"/>
          </w:tcPr>
          <w:p>
            <w:r>
              <w:t>Shareholding Pattern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existing_sanction_letter.pdf</w:t>
            </w:r>
          </w:p>
        </w:tc>
        <w:tc>
          <w:tcPr>
            <w:tcW w:type="dxa" w:w="2880"/>
          </w:tcPr>
          <w:p>
            <w:r>
              <w:t>Sanction Letter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</w:tbl>
    <w:p>
      <w:r>
        <w:rPr>
          <w:i/>
        </w:rPr>
        <w:t>Generated by CredX on 04 Oct 2026 15:23 UTC. Machine-generated recommendation; final sanction rests with the delegated authority.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Prepared by (Credit Analyst)</w:t>
            </w:r>
          </w:p>
        </w:tc>
        <w:tc>
          <w:tcPr>
            <w:tcW w:type="dxa" w:w="2880"/>
          </w:tcPr>
          <w:p>
            <w:r>
              <w:t>Reviewed by (Credit Manager)</w:t>
            </w:r>
          </w:p>
        </w:tc>
        <w:tc>
          <w:tcPr>
            <w:tcW w:type="dxa" w:w="2880"/>
          </w:tcPr>
          <w:p>
            <w:r>
              <w:t>Sanctioning Authority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