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4F9C"/>
        </w:rPr>
        <w:t>CREDX · CREDIT APPRAISAL MEMORANDUM</w:t>
      </w:r>
    </w:p>
    <w:p>
      <w:pPr>
        <w:pStyle w:val="Title"/>
      </w:pPr>
      <w:r>
        <w:t>Orion Pharmachem Limited</w:t>
      </w:r>
    </w:p>
    <w:p>
      <w:pPr>
        <w:jc w:val="left"/>
      </w:pPr>
      <w:r>
        <w:t>CX-2026-0002 · Term Loan · Version 1 · 04 Oct 2026 · Strictly confidential</w:t>
      </w:r>
    </w:p>
    <w:p>
      <w:pPr>
        <w:pStyle w:val="Heading1"/>
      </w:pPr>
      <w:r>
        <w:t>1. Executive Summary</w:t>
      </w:r>
    </w:p>
    <w:p>
      <w:r>
        <w:rPr>
          <w:b/>
        </w:rPr>
        <w:t>Recommendation: Approve</w:t>
      </w:r>
    </w:p>
    <w:p>
      <w:r>
        <w:t>Orion Pharmachem Limited, operating in Pharmaceuticals &amp; API, has applied for a Term Loan of ₹60.00 Cr. The proposal is recommended for approval. The internal score of 863 (CX1) implies a one-year probability of default of 0.05%. Principal concerns are no material risk drivers. These are partly mitigated by Debt service coverage 6.82x; Fraud risk score 0; Debt / EBITDA 0.86x. We recommend an exposure of ₹60.00 Cr priced at 9.7% p.a., with sizing bound by the requested amount.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863 / 900</w:t>
            </w:r>
          </w:p>
        </w:tc>
      </w:tr>
      <w:tr>
        <w:tc>
          <w:tcPr>
            <w:tcW w:type="dxa" w:w="4320"/>
          </w:tcPr>
          <w:p>
            <w:r>
              <w:t>Internal grade</w:t>
            </w:r>
          </w:p>
        </w:tc>
        <w:tc>
          <w:tcPr>
            <w:tcW w:type="dxa" w:w="4320"/>
          </w:tcPr>
          <w:p>
            <w:r>
              <w:t>CX1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Probability of default (1y)</w:t>
            </w:r>
          </w:p>
        </w:tc>
        <w:tc>
          <w:tcPr>
            <w:tcW w:type="dxa" w:w="4320"/>
          </w:tcPr>
          <w:p>
            <w:r>
              <w:t>0.05%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₹60.00 Cr</w:t>
            </w:r>
          </w:p>
        </w:tc>
      </w:tr>
      <w:tr>
        <w:tc>
          <w:tcPr>
            <w:tcW w:type="dxa" w:w="4320"/>
          </w:tcPr>
          <w:p>
            <w:r>
              <w:t>Suggested rate</w:t>
            </w:r>
          </w:p>
        </w:tc>
        <w:tc>
          <w:tcPr>
            <w:tcW w:type="dxa" w:w="4320"/>
          </w:tcPr>
          <w:p>
            <w:r>
              <w:t>9.7% p.a.</w:t>
            </w:r>
          </w:p>
        </w:tc>
      </w:tr>
      <w:tr>
        <w:tc>
          <w:tcPr>
            <w:tcW w:type="dxa" w:w="4320"/>
          </w:tcPr>
          <w:p>
            <w:r>
              <w:t>Fraud risk score</w:t>
            </w:r>
          </w:p>
        </w:tc>
        <w:tc>
          <w:tcPr>
            <w:tcW w:type="dxa" w:w="4320"/>
          </w:tcPr>
          <w:p>
            <w:r>
              <w:t>0 / 100</w:t>
            </w:r>
          </w:p>
        </w:tc>
      </w:tr>
      <w:tr>
        <w:tc>
          <w:tcPr>
            <w:tcW w:type="dxa" w:w="4320"/>
          </w:tcPr>
          <w:p>
            <w:r>
              <w:t>Approval likelihood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2.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Orion Pharmachem Limited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Public Limited (Listed)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L24230TG1998PLC029874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AABCO7712Q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36AABCO7712Q1ZY</w:t>
            </w:r>
          </w:p>
        </w:tc>
      </w:tr>
      <w:tr>
        <w:tc>
          <w:tcPr>
            <w:tcW w:type="dxa" w:w="4320"/>
          </w:tcPr>
          <w:p>
            <w:r>
              <w:t>Incorporated</w:t>
            </w:r>
          </w:p>
        </w:tc>
        <w:tc>
          <w:tcPr>
            <w:tcW w:type="dxa" w:w="4320"/>
          </w:tcPr>
          <w:p>
            <w:r>
              <w:t>1998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Pharmaceuticals &amp; API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Hyderabad, Telangana</w:t>
            </w:r>
          </w:p>
        </w:tc>
      </w:tr>
      <w:tr>
        <w:tc>
          <w:tcPr>
            <w:tcW w:type="dxa" w:w="4320"/>
          </w:tcPr>
          <w:p>
            <w:r>
              <w:t>Promoters / directors</w:t>
            </w:r>
          </w:p>
        </w:tc>
        <w:tc>
          <w:tcPr>
            <w:tcW w:type="dxa" w:w="4320"/>
          </w:tcPr>
          <w:p>
            <w:r>
              <w:t>Srinivas Reddy (DIN 00112233), Lakshmi Reddy (DIN 00112234)</w:t>
            </w:r>
          </w:p>
        </w:tc>
      </w:tr>
      <w:tr>
        <w:tc>
          <w:tcPr>
            <w:tcW w:type="dxa" w:w="4320"/>
          </w:tcPr>
          <w:p>
            <w:r>
              <w:t>External rating</w:t>
            </w:r>
          </w:p>
        </w:tc>
        <w:tc>
          <w:tcPr>
            <w:tcW w:type="dxa" w:w="4320"/>
          </w:tcPr>
          <w:p>
            <w:r>
              <w:t>AA-/Stable (demo agency)</w:t>
            </w:r>
          </w:p>
        </w:tc>
      </w:tr>
    </w:tbl>
    <w:p>
      <w:pPr>
        <w:pStyle w:val="Heading1"/>
      </w:pPr>
      <w:r>
        <w:t>3. Proposed Facility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Case reference</w:t>
            </w:r>
          </w:p>
        </w:tc>
        <w:tc>
          <w:tcPr>
            <w:tcW w:type="dxa" w:w="4320"/>
          </w:tcPr>
          <w:p>
            <w:r>
              <w:t>CX-2026-0002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Term Loan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₹60,00,00,000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PLI-backed fermentation capacity for key starting materials</w:t>
            </w:r>
          </w:p>
        </w:tc>
      </w:tr>
      <w:tr>
        <w:tc>
          <w:tcPr>
            <w:tcW w:type="dxa" w:w="4320"/>
          </w:tcPr>
          <w:p>
            <w:r>
              <w:t>Security offered</w:t>
            </w:r>
          </w:p>
        </w:tc>
        <w:tc>
          <w:tcPr>
            <w:tcW w:type="dxa" w:w="4320"/>
          </w:tcPr>
          <w:p>
            <w:r>
              <w:t>First pari-passu charge on fixed assets of Bollaram unit</w:t>
            </w:r>
          </w:p>
        </w:tc>
      </w:tr>
      <w:tr>
        <w:tc>
          <w:tcPr>
            <w:tcW w:type="dxa" w:w="4320"/>
          </w:tcPr>
          <w:p>
            <w:r>
              <w:t>Security value</w:t>
            </w:r>
          </w:p>
        </w:tc>
        <w:tc>
          <w:tcPr>
            <w:tcW w:type="dxa" w:w="4320"/>
          </w:tcPr>
          <w:p>
            <w:r>
              <w:t>₹95.00 Cr</w:t>
            </w:r>
          </w:p>
        </w:tc>
      </w:tr>
    </w:tbl>
    <w:p>
      <w:pPr>
        <w:pStyle w:val="Heading1"/>
      </w:pPr>
      <w:r>
        <w:t>4. 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  <w:tc>
          <w:tcPr>
            <w:tcW w:type="dxa" w:w="2160"/>
          </w:tcPr>
          <w:p>
            <w:r>
              <w:t>FY25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₹318.00 Cr</w:t>
            </w:r>
          </w:p>
        </w:tc>
        <w:tc>
          <w:tcPr>
            <w:tcW w:type="dxa" w:w="2160"/>
          </w:tcPr>
          <w:p>
            <w:r>
              <w:t>₹361.00 Cr</w:t>
            </w:r>
          </w:p>
        </w:tc>
        <w:tc>
          <w:tcPr>
            <w:tcW w:type="dxa" w:w="2160"/>
          </w:tcPr>
          <w:p>
            <w:r>
              <w:t>₹412.00 Cr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₹70.00 Cr</w:t>
            </w:r>
          </w:p>
        </w:tc>
        <w:tc>
          <w:tcPr>
            <w:tcW w:type="dxa" w:w="2160"/>
          </w:tcPr>
          <w:p>
            <w:r>
              <w:t>₹82.30 Cr</w:t>
            </w:r>
          </w:p>
        </w:tc>
        <w:tc>
          <w:tcPr>
            <w:tcW w:type="dxa" w:w="2160"/>
          </w:tcPr>
          <w:p>
            <w:r>
              <w:t>₹98.90 Cr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PAT</w:t>
            </w:r>
          </w:p>
        </w:tc>
        <w:tc>
          <w:tcPr>
            <w:tcW w:type="dxa" w:w="2160"/>
          </w:tcPr>
          <w:p>
            <w:r>
              <w:t>₹34.50 Cr</w:t>
            </w:r>
          </w:p>
        </w:tc>
        <w:tc>
          <w:tcPr>
            <w:tcW w:type="dxa" w:w="2160"/>
          </w:tcPr>
          <w:p>
            <w:r>
              <w:t>₹41.80 Cr</w:t>
            </w:r>
          </w:p>
        </w:tc>
        <w:tc>
          <w:tcPr>
            <w:tcW w:type="dxa" w:w="2160"/>
          </w:tcPr>
          <w:p>
            <w:r>
              <w:t>₹52.00 Cr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Total debt</w:t>
            </w:r>
          </w:p>
        </w:tc>
        <w:tc>
          <w:tcPr>
            <w:tcW w:type="dxa" w:w="2160"/>
          </w:tcPr>
          <w:p>
            <w:r>
              <w:t>₹100.00 Cr</w:t>
            </w:r>
          </w:p>
        </w:tc>
        <w:tc>
          <w:tcPr>
            <w:tcW w:type="dxa" w:w="2160"/>
          </w:tcPr>
          <w:p>
            <w:r>
              <w:t>₹93.00 Cr</w:t>
            </w:r>
          </w:p>
        </w:tc>
        <w:tc>
          <w:tcPr>
            <w:tcW w:type="dxa" w:w="2160"/>
          </w:tcPr>
          <w:p>
            <w:r>
              <w:t>₹85.00 Cr</w:t>
            </w:r>
          </w:p>
        </w:tc>
      </w:tr>
      <w:tr>
        <w:tc>
          <w:tcPr>
            <w:tcW w:type="dxa" w:w="2160"/>
          </w:tcPr>
          <w:p>
            <w:r>
              <w:t>Net worth</w:t>
            </w:r>
          </w:p>
        </w:tc>
        <w:tc>
          <w:tcPr>
            <w:tcW w:type="dxa" w:w="2160"/>
          </w:tcPr>
          <w:p>
            <w:r>
              <w:t>₹303.00 Cr</w:t>
            </w:r>
          </w:p>
        </w:tc>
        <w:tc>
          <w:tcPr>
            <w:tcW w:type="dxa" w:w="2160"/>
          </w:tcPr>
          <w:p>
            <w:r>
              <w:t>₹342.00 Cr</w:t>
            </w:r>
          </w:p>
        </w:tc>
        <w:tc>
          <w:tcPr>
            <w:tcW w:type="dxa" w:w="2160"/>
          </w:tcPr>
          <w:p>
            <w:r>
              <w:t>₹390.00 Cr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1.43x</w:t>
            </w:r>
          </w:p>
        </w:tc>
        <w:tc>
          <w:tcPr>
            <w:tcW w:type="dxa" w:w="2160"/>
          </w:tcPr>
          <w:p>
            <w:r>
              <w:t>1.13x</w:t>
            </w:r>
          </w:p>
        </w:tc>
        <w:tc>
          <w:tcPr>
            <w:tcW w:type="dxa" w:w="2160"/>
          </w:tcPr>
          <w:p>
            <w:r>
              <w:t>0.86x</w:t>
            </w:r>
          </w:p>
        </w:tc>
      </w:tr>
      <w:tr>
        <w:tc>
          <w:tcPr>
            <w:tcW w:type="dxa" w:w="2160"/>
          </w:tcPr>
          <w:p>
            <w:r>
              <w:t>Debt / Equity</w:t>
            </w:r>
          </w:p>
        </w:tc>
        <w:tc>
          <w:tcPr>
            <w:tcW w:type="dxa" w:w="2160"/>
          </w:tcPr>
          <w:p>
            <w:r>
              <w:t>0.33x</w:t>
            </w:r>
          </w:p>
        </w:tc>
        <w:tc>
          <w:tcPr>
            <w:tcW w:type="dxa" w:w="2160"/>
          </w:tcPr>
          <w:p>
            <w:r>
              <w:t>0.27x</w:t>
            </w:r>
          </w:p>
        </w:tc>
        <w:tc>
          <w:tcPr>
            <w:tcW w:type="dxa" w:w="2160"/>
          </w:tcPr>
          <w:p>
            <w:r>
              <w:t>0.22x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9.21x</w:t>
            </w:r>
          </w:p>
        </w:tc>
        <w:tc>
          <w:tcPr>
            <w:tcW w:type="dxa" w:w="2160"/>
          </w:tcPr>
          <w:p>
            <w:r>
              <w:t>5.45x</w:t>
            </w:r>
          </w:p>
        </w:tc>
        <w:tc>
          <w:tcPr>
            <w:tcW w:type="dxa" w:w="2160"/>
          </w:tcPr>
          <w:p>
            <w:r>
              <w:t>6.82x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9.21x</w:t>
            </w:r>
          </w:p>
        </w:tc>
        <w:tc>
          <w:tcPr>
            <w:tcW w:type="dxa" w:w="2160"/>
          </w:tcPr>
          <w:p>
            <w:r>
              <w:t>11.59x</w:t>
            </w:r>
          </w:p>
        </w:tc>
        <w:tc>
          <w:tcPr>
            <w:tcW w:type="dxa" w:w="2160"/>
          </w:tcPr>
          <w:p>
            <w:r>
              <w:t>15.22x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1.69x</w:t>
            </w:r>
          </w:p>
        </w:tc>
        <w:tc>
          <w:tcPr>
            <w:tcW w:type="dxa" w:w="2160"/>
          </w:tcPr>
          <w:p>
            <w:r>
              <w:t>1.79x</w:t>
            </w:r>
          </w:p>
        </w:tc>
        <w:tc>
          <w:tcPr>
            <w:tcW w:type="dxa" w:w="2160"/>
          </w:tcPr>
          <w:p>
            <w:r>
              <w:t>1.86x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</w:tbl>
    <w:p>
      <w:r>
        <w:rPr>
          <w:i/>
        </w:rPr>
        <w:t>Figures extracted from uploaded statements; each value carries document/page provenance in CredX.</w:t>
      </w:r>
    </w:p>
    <w:p>
      <w:pPr>
        <w:pStyle w:val="Heading1"/>
      </w:pPr>
      <w:r>
        <w:t>5. Banking Conduct &amp; GST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GSTR-2A/2B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3B ₹412.00 Cr vs 2A/2B ₹408.90 Cr — variance 0.8% (tolerance 5%).</w:t>
            </w:r>
          </w:p>
        </w:tc>
      </w:tr>
      <w:tr>
        <w:tc>
          <w:tcPr>
            <w:tcW w:type="dxa" w:w="2880"/>
          </w:tcPr>
          <w:p>
            <w:r>
              <w:t>GSTR-1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Outward supplies declared ₹411.20 Cr vs tax paid on ₹412.00 Cr (0.2%).</w:t>
            </w:r>
          </w:p>
        </w:tc>
      </w:tr>
      <w:tr>
        <w:tc>
          <w:tcPr>
            <w:tcW w:type="dxa" w:w="2880"/>
          </w:tcPr>
          <w:p>
            <w:r>
              <w:t>Bank credits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Annualised bank credits ₹479.42 Cr are 99% of GST turnover incl. tax.</w:t>
            </w:r>
          </w:p>
        </w:tc>
      </w:tr>
      <w:tr>
        <w:tc>
          <w:tcPr>
            <w:tcW w:type="dxa" w:w="2880"/>
          </w:tcPr>
          <w:p>
            <w:r>
              <w:t>Book revenue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Financial-statement revenue ₹412.00 Cr vs GST turnover ₹412.00 Cr (0.0%).</w:t>
            </w:r>
          </w:p>
        </w:tc>
      </w:tr>
      <w:tr>
        <w:tc>
          <w:tcPr>
            <w:tcW w:type="dxa" w:w="2880"/>
          </w:tcPr>
          <w:p>
            <w:r>
              <w:t>GSTIN validity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GSTIN(s) pass checksum and state-code validation.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Credits</w:t>
            </w:r>
          </w:p>
        </w:tc>
        <w:tc>
          <w:tcPr>
            <w:tcW w:type="dxa" w:w="1440"/>
          </w:tcPr>
          <w:p>
            <w:r>
              <w:t>Closing bal.</w:t>
            </w:r>
          </w:p>
        </w:tc>
        <w:tc>
          <w:tcPr>
            <w:tcW w:type="dxa" w:w="1440"/>
          </w:tcPr>
          <w:p>
            <w:r>
              <w:t>Bounces</w:t>
            </w:r>
          </w:p>
        </w:tc>
        <w:tc>
          <w:tcPr>
            <w:tcW w:type="dxa" w:w="1440"/>
          </w:tcPr>
          <w:p>
            <w:r>
              <w:t>Overdrawn days</w:t>
            </w:r>
          </w:p>
        </w:tc>
      </w:tr>
      <w:tr>
        <w:tc>
          <w:tcPr>
            <w:tcW w:type="dxa" w:w="1440"/>
          </w:tcPr>
          <w:p>
            <w:r>
              <w:t>bank_statement_Oct24-Mar25.pdf</w:t>
            </w:r>
          </w:p>
        </w:tc>
        <w:tc>
          <w:tcPr>
            <w:tcW w:type="dxa" w:w="1440"/>
          </w:tcPr>
          <w:p>
            <w:r>
              <w:t>XXXX7654</w:t>
            </w:r>
          </w:p>
        </w:tc>
        <w:tc>
          <w:tcPr>
            <w:tcW w:type="dxa" w:w="1440"/>
          </w:tcPr>
          <w:p>
            <w:r>
              <w:t>₹239.71 Cr</w:t>
            </w:r>
          </w:p>
        </w:tc>
        <w:tc>
          <w:tcPr>
            <w:tcW w:type="dxa" w:w="1440"/>
          </w:tcPr>
          <w:p>
            <w:r>
              <w:t>₹31.25 Cr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6. Promoter, Litigation &amp; Market Intelligence</w:t>
      </w:r>
    </w:p>
    <w:p>
      <w:r>
        <w:t>3 external items were reviewed for Orion Pharmachem Limited; overall promoter/company sentiment is positive. Supportive developments: Orion Pharmachem receives USFDA EIR for Hyderabad API unit [1]; Orion Pharmachem upgraded to AA-/Stable on strong cash flows [3]. Litigation exposure is low (score 0/100 across 0 matter(s)). Sector view (Pharmaceuticals &amp; API): outlook strong; key headwind — usfda regulatory actions (warning letters, import alerts).</w:t>
      </w:r>
    </w:p>
    <w:p>
      <w:pPr>
        <w:pStyle w:val="ListBullet"/>
      </w:pPr>
      <w:r>
        <w:t>Litigation risk: LOW</w:t>
      </w:r>
    </w:p>
    <w:p>
      <w:pPr>
        <w:pStyle w:val="ListBullet"/>
      </w:pPr>
      <w:r>
        <w:t>Promoter sentiment: POSITIVE</w:t>
      </w:r>
    </w:p>
    <w:p>
      <w:pPr>
        <w:pStyle w:val="ListBullet"/>
      </w:pPr>
      <w:r>
        <w:t>Sector outlook: STRONG</w:t>
      </w:r>
    </w:p>
    <w:p>
      <w:pPr>
        <w:pStyle w:val="ListBullet"/>
      </w:pPr>
      <w:r>
        <w:t>Overall external risk: LOW</w:t>
      </w:r>
    </w:p>
    <w:p>
      <w:pPr>
        <w:pStyle w:val="ListBullet"/>
      </w:pPr>
      <w:r>
        <w:t>[LOW] Orion Pharmachem receives USFDA EIR for Hyderabad API unit — Pharma Pulse (demo) (demo data)</w:t>
      </w:r>
    </w:p>
    <w:p>
      <w:pPr>
        <w:pStyle w:val="ListBullet"/>
      </w:pPr>
      <w:r>
        <w:t>[LOW] Orion Pharmachem to invest ₹180 crore in PLI-backed fermentation capacity — Pharma Pulse (demo) (demo data)</w:t>
      </w:r>
    </w:p>
    <w:p>
      <w:pPr>
        <w:pStyle w:val="ListBullet"/>
      </w:pPr>
      <w:r>
        <w:t>[LOW] Orion Pharmachem upgraded to AA-/Stable on strong cash flows — Rating Desk India (demo) (demo data)</w:t>
      </w:r>
    </w:p>
    <w:p>
      <w:pPr>
        <w:pStyle w:val="Heading1"/>
      </w:pPr>
      <w:r>
        <w:t>7. Sector &amp; Regulatory Conditions</w:t>
      </w:r>
    </w:p>
    <w:p>
      <w:r>
        <w:t>Pharmaceuticals &amp; API — outlook STRONG, sector risk band 2/5 (knowledge base 2026.10).</w:t>
      </w:r>
    </w:p>
    <w:p>
      <w:r>
        <w:rPr>
          <w:b/>
        </w:rPr>
        <w:t>Headwinds</w:t>
      </w:r>
    </w:p>
    <w:p>
      <w:pPr>
        <w:pStyle w:val="ListBullet"/>
      </w:pPr>
      <w:r>
        <w:t>USFDA regulatory actions (warning letters, import alerts)</w:t>
      </w:r>
    </w:p>
    <w:p>
      <w:pPr>
        <w:pStyle w:val="ListBullet"/>
      </w:pPr>
      <w:r>
        <w:t>US generic price erosion</w:t>
      </w:r>
    </w:p>
    <w:p>
      <w:pPr>
        <w:pStyle w:val="ListBullet"/>
      </w:pPr>
      <w:r>
        <w:t>Dependence on Chinese KSMs</w:t>
      </w:r>
    </w:p>
    <w:p>
      <w:r>
        <w:rPr>
          <w:b/>
        </w:rPr>
        <w:t>Tailwinds</w:t>
      </w:r>
    </w:p>
    <w:p>
      <w:pPr>
        <w:pStyle w:val="ListBullet"/>
      </w:pPr>
      <w:r>
        <w:t>PLI for bulk drugs/KSMs</w:t>
      </w:r>
    </w:p>
    <w:p>
      <w:pPr>
        <w:pStyle w:val="ListBullet"/>
      </w:pPr>
      <w:r>
        <w:t>Strong domestic formulation demand</w:t>
      </w:r>
    </w:p>
    <w:p>
      <w:pPr>
        <w:pStyle w:val="ListBullet"/>
      </w:pPr>
      <w:r>
        <w:t>CDMO outsourcing opportunity</w:t>
      </w:r>
    </w:p>
    <w:p>
      <w:r>
        <w:rPr>
          <w:b/>
        </w:rPr>
        <w:t>RBI / regulatory context</w:t>
      </w:r>
    </w:p>
    <w:p>
      <w:pPr>
        <w:pStyle w:val="ListBullet"/>
      </w:pPr>
      <w:r>
        <w:t>Generally standard-asset quality; regulatory events are the main idiosyncratic risk</w:t>
      </w:r>
    </w:p>
    <w:p>
      <w:pPr>
        <w:pStyle w:val="ListBullet"/>
      </w:pPr>
      <w:r>
        <w:t>Track USFDA inspection outcomes (EIR vs Form 483 vs OAI)</w:t>
      </w:r>
    </w:p>
    <w:p>
      <w:pPr>
        <w:pStyle w:val="Heading1"/>
      </w:pPr>
      <w:r>
        <w:t>8. Fraud &amp; Forensic Observations</w:t>
      </w:r>
    </w:p>
    <w:p>
      <w:r>
        <w:t>Fraud risk score 0/100 (LOW). Graph of 6 companies and 7 relationships analysed. No circular trading loops found. GST reconciliation within tolerance.</w:t>
      </w:r>
    </w:p>
    <w:p>
      <w:pPr>
        <w:pStyle w:val="ListBullet"/>
      </w:pPr>
      <w:r>
        <w:t>No graph or GST forensic alerts.</w:t>
      </w:r>
    </w:p>
    <w:p>
      <w:pPr>
        <w:pStyle w:val="Heading1"/>
      </w:pPr>
      <w:r>
        <w:t>9. Five Cs of Credit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Fraud risk score: 0 (+29 pts); Promoter sentiment: +0.68 (+15 pts); Cheque/ECS bounces: 0 (+9 pts)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Debt service coverage: 6.82x (+42 pts); Current ratio: 1.86x (+15 pts); Interest coverage: 15.22x (+11 pts)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Debt / EBITDA: 0.86x (+22 pts); Debt / equity: 0.22x (+4 pts); Promoter pledge: 0.0% (+2 pts)</w:t>
            </w:r>
          </w:p>
        </w:tc>
      </w:tr>
      <w:tr>
        <w:tc>
          <w:tcPr>
            <w:tcW w:type="dxa" w:w="2160"/>
          </w:tcPr>
          <w:p>
            <w:r>
              <w:t>Collateral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Offered security: First pari-passu charge on fixed assets of Bollaram unit; Collateral coverage: 1.58x (+3 pts)</w:t>
            </w:r>
          </w:p>
        </w:tc>
      </w:tr>
      <w:tr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Revenue growth: 14.1% (+7 pts); Sector risk: 2 (+5 pts); Sector: Pharmaceuticals &amp; API — outlook STRONG</w:t>
            </w:r>
          </w:p>
        </w:tc>
      </w:tr>
    </w:tbl>
    <w:p>
      <w:pPr>
        <w:pStyle w:val="Heading1"/>
      </w:pPr>
      <w:r>
        <w:t>10. Risk Rating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Score impact</w:t>
            </w:r>
          </w:p>
        </w:tc>
        <w:tc>
          <w:tcPr>
            <w:tcW w:type="dxa" w:w="2160"/>
          </w:tcPr>
          <w:p>
            <w:r>
              <w:t>Five C</w:t>
            </w:r>
          </w:p>
        </w:tc>
      </w:tr>
      <w:tr>
        <w:tc>
          <w:tcPr>
            <w:tcW w:type="dxa" w:w="2160"/>
          </w:tcPr>
          <w:p>
            <w:r>
              <w:t>Debt service coverage</w:t>
            </w:r>
          </w:p>
        </w:tc>
        <w:tc>
          <w:tcPr>
            <w:tcW w:type="dxa" w:w="2160"/>
          </w:tcPr>
          <w:p>
            <w:r>
              <w:t>6.82x</w:t>
            </w:r>
          </w:p>
        </w:tc>
        <w:tc>
          <w:tcPr>
            <w:tcW w:type="dxa" w:w="2160"/>
          </w:tcPr>
          <w:p>
            <w:r>
              <w:t>+42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Fraud risk score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+29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0.86x</w:t>
            </w:r>
          </w:p>
        </w:tc>
        <w:tc>
          <w:tcPr>
            <w:tcW w:type="dxa" w:w="2160"/>
          </w:tcPr>
          <w:p>
            <w:r>
              <w:t>+22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1.86x</w:t>
            </w:r>
          </w:p>
        </w:tc>
        <w:tc>
          <w:tcPr>
            <w:tcW w:type="dxa" w:w="2160"/>
          </w:tcPr>
          <w:p>
            <w:r>
              <w:t>+15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Promoter sentiment</w:t>
            </w:r>
          </w:p>
        </w:tc>
        <w:tc>
          <w:tcPr>
            <w:tcW w:type="dxa" w:w="2160"/>
          </w:tcPr>
          <w:p>
            <w:r>
              <w:t>+0.68</w:t>
            </w:r>
          </w:p>
        </w:tc>
        <w:tc>
          <w:tcPr>
            <w:tcW w:type="dxa" w:w="2160"/>
          </w:tcPr>
          <w:p>
            <w:r>
              <w:t>+15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15.22x</w:t>
            </w:r>
          </w:p>
        </w:tc>
        <w:tc>
          <w:tcPr>
            <w:tcW w:type="dxa" w:w="2160"/>
          </w:tcPr>
          <w:p>
            <w:r>
              <w:t>+11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+11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Cheque/ECS bounces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+9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Cash-flow volatility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Litigation intensity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GST mismatch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+5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Experienced promoter with three decades in API manufacturing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+6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KO-01 Wilful defaulter / RBI defaulter list</w:t>
            </w:r>
          </w:p>
        </w:tc>
        <w:tc>
          <w:tcPr>
            <w:tcW w:type="dxa" w:w="2160"/>
          </w:tcPr>
          <w:p>
            <w:r>
              <w:t>Not on 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KO-02 Existing NPA / SMA-2 classification</w:t>
            </w:r>
          </w:p>
        </w:tc>
        <w:tc>
          <w:tcPr>
            <w:tcW w:type="dxa" w:w="2160"/>
          </w:tcPr>
          <w:p>
            <w:r>
              <w:t>Standard asset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KO-03 Admitted insolvency proceedings</w:t>
            </w:r>
          </w:p>
        </w:tc>
        <w:tc>
          <w:tcPr>
            <w:tcW w:type="dxa" w:w="2160"/>
          </w:tcPr>
          <w:p>
            <w:r>
              <w:t>No CIRP admitted</w:t>
            </w:r>
          </w:p>
        </w:tc>
        <w:tc>
          <w:tcPr>
            <w:tcW w:type="dxa" w:w="2160"/>
          </w:tcPr>
          <w:p>
            <w:r>
              <w:t>none admitted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KO-04 Fraud risk score</w:t>
            </w:r>
          </w:p>
        </w:tc>
        <w:tc>
          <w:tcPr>
            <w:tcW w:type="dxa" w:w="2160"/>
          </w:tcPr>
          <w:p>
            <w:r>
              <w:t>&lt; 75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KO-05 Debt service coverage</w:t>
            </w:r>
          </w:p>
        </w:tc>
        <w:tc>
          <w:tcPr>
            <w:tcW w:type="dxa" w:w="2160"/>
          </w:tcPr>
          <w:p>
            <w:r>
              <w:t>&gt;= 0.90x</w:t>
            </w:r>
          </w:p>
        </w:tc>
        <w:tc>
          <w:tcPr>
            <w:tcW w:type="dxa" w:w="2160"/>
          </w:tcPr>
          <w:p>
            <w:r>
              <w:t>6.82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DV-01 Minimum DSCR</w:t>
            </w:r>
          </w:p>
        </w:tc>
        <w:tc>
          <w:tcPr>
            <w:tcW w:type="dxa" w:w="2160"/>
          </w:tcPr>
          <w:p>
            <w:r>
              <w:t>&gt;= 1.25x</w:t>
            </w:r>
          </w:p>
        </w:tc>
        <w:tc>
          <w:tcPr>
            <w:tcW w:type="dxa" w:w="2160"/>
          </w:tcPr>
          <w:p>
            <w:r>
              <w:t>6.82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DV-02 Maximum Debt / EBITDA</w:t>
            </w:r>
          </w:p>
        </w:tc>
        <w:tc>
          <w:tcPr>
            <w:tcW w:type="dxa" w:w="2160"/>
          </w:tcPr>
          <w:p>
            <w:r>
              <w:t>&lt;= 4.0x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DV-03 Maximum Debt / Equity</w:t>
            </w:r>
          </w:p>
        </w:tc>
        <w:tc>
          <w:tcPr>
            <w:tcW w:type="dxa" w:w="2160"/>
          </w:tcPr>
          <w:p>
            <w:r>
              <w:t>&lt;= 3.0x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DV-04 Minimum current ratio</w:t>
            </w:r>
          </w:p>
        </w:tc>
        <w:tc>
          <w:tcPr>
            <w:tcW w:type="dxa" w:w="2160"/>
          </w:tcPr>
          <w:p>
            <w:r>
              <w:t>&gt;= 1.10x</w:t>
            </w:r>
          </w:p>
        </w:tc>
        <w:tc>
          <w:tcPr>
            <w:tcW w:type="dxa" w:w="2160"/>
          </w:tcPr>
          <w:p>
            <w:r>
              <w:t>1.86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DV-05 GST turnover reconciliation</w:t>
            </w:r>
          </w:p>
        </w:tc>
        <w:tc>
          <w:tcPr>
            <w:tcW w:type="dxa" w:w="2160"/>
          </w:tcPr>
          <w:p>
            <w:r>
              <w:t>&lt;= 10% variance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DV-06 Promoter pledge</w:t>
            </w:r>
          </w:p>
        </w:tc>
        <w:tc>
          <w:tcPr>
            <w:tcW w:type="dxa" w:w="2160"/>
          </w:tcPr>
          <w:p>
            <w:r>
              <w:t>&lt;= 50%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DV-07 Collateral coverage</w:t>
            </w:r>
          </w:p>
        </w:tc>
        <w:tc>
          <w:tcPr>
            <w:tcW w:type="dxa" w:w="2160"/>
          </w:tcPr>
          <w:p>
            <w:r>
              <w:t>&gt;= 1.0x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DV-08 Litigation intensity</w:t>
            </w:r>
          </w:p>
        </w:tc>
        <w:tc>
          <w:tcPr>
            <w:tcW w:type="dxa" w:w="2160"/>
          </w:tcPr>
          <w:p>
            <w:r>
              <w:t>&lt;= 60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DV-09 Cheque/ECS bounces (6m)</w:t>
            </w:r>
          </w:p>
        </w:tc>
        <w:tc>
          <w:tcPr>
            <w:tcW w:type="dxa" w:w="2160"/>
          </w:tcPr>
          <w:p>
            <w:r>
              <w:t>&lt;= 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DV-10 Going-concern / audit qualification</w:t>
            </w:r>
          </w:p>
        </w:tc>
        <w:tc>
          <w:tcPr>
            <w:tcW w:type="dxa" w:w="2160"/>
          </w:tcPr>
          <w:p>
            <w:r>
              <w:t>Clean opinion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i/>
        </w:rPr>
        <w:t>Model score 857 = base 657 pts + feature points (exact TreeSHAP attribution, PDO-scaled); overlays +6 pts give final score 863. Model xgb-20261004-131921 (AUC 0.8764).</w:t>
      </w:r>
    </w:p>
    <w:p>
      <w:pPr>
        <w:pStyle w:val="Heading1"/>
      </w:pPr>
      <w:r>
        <w:t>11. Analyst Observations</w:t>
      </w:r>
    </w:p>
    <w:p>
      <w:r>
        <w:t>1 qualitative observation(s) recorded by the underwriting team.</w:t>
      </w:r>
    </w:p>
    <w:p>
      <w:pPr>
        <w:pStyle w:val="ListBullet"/>
      </w:pPr>
      <w:r>
        <w:t>Management: Experienced promoter with three decades in API manufacturing; second-generation CFO with strong controls. (score impact +6 pts)</w:t>
      </w:r>
    </w:p>
    <w:p>
      <w:pPr>
        <w:pStyle w:val="Heading1"/>
      </w:pPr>
      <w:r>
        <w:t>12. Loan Sizing &amp; Risk-Based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Eligible amount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Requested amount ★</w:t>
            </w:r>
          </w:p>
        </w:tc>
        <w:tc>
          <w:tcPr>
            <w:tcW w:type="dxa" w:w="2880"/>
          </w:tcPr>
          <w:p>
            <w:r>
              <w:t>₹60.00 Cr</w:t>
            </w:r>
          </w:p>
        </w:tc>
        <w:tc>
          <w:tcPr>
            <w:tcW w:type="dxa" w:w="2880"/>
          </w:tcPr>
          <w:p>
            <w:r>
              <w:t>Applicant request</w:t>
            </w:r>
          </w:p>
        </w:tc>
      </w:tr>
      <w:tr>
        <w:tc>
          <w:tcPr>
            <w:tcW w:type="dxa" w:w="2880"/>
          </w:tcPr>
          <w:p>
            <w:r>
              <w:t>DSCR capacity</w:t>
            </w:r>
          </w:p>
        </w:tc>
        <w:tc>
          <w:tcPr>
            <w:tcW w:type="dxa" w:w="2880"/>
          </w:tcPr>
          <w:p>
            <w:r>
              <w:t>₹288.91 Cr</w:t>
            </w:r>
          </w:p>
        </w:tc>
        <w:tc>
          <w:tcPr>
            <w:tcW w:type="dxa" w:w="2880"/>
          </w:tcPr>
          <w:p>
            <w:r>
              <w:t>EBITDA / 1.35x target DSCR less existing debt service, 7-yr annuity @ 9.70%</w:t>
            </w:r>
          </w:p>
        </w:tc>
      </w:tr>
      <w:tr>
        <w:tc>
          <w:tcPr>
            <w:tcW w:type="dxa" w:w="2880"/>
          </w:tcPr>
          <w:p>
            <w:r>
              <w:t>Leverage ceiling</w:t>
            </w:r>
          </w:p>
        </w:tc>
        <w:tc>
          <w:tcPr>
            <w:tcW w:type="dxa" w:w="2880"/>
          </w:tcPr>
          <w:p>
            <w:r>
              <w:t>₹409.50 Cr</w:t>
            </w:r>
          </w:p>
        </w:tc>
        <w:tc>
          <w:tcPr>
            <w:tcW w:type="dxa" w:w="2880"/>
          </w:tcPr>
          <w:p>
            <w:r>
              <w:t>5.00x Debt/EBITDA for grade less existing debt</w:t>
            </w:r>
          </w:p>
        </w:tc>
      </w:tr>
      <w:tr>
        <w:tc>
          <w:tcPr>
            <w:tcW w:type="dxa" w:w="2880"/>
          </w:tcPr>
          <w:p>
            <w:r>
              <w:t>Security cover</w:t>
            </w:r>
          </w:p>
        </w:tc>
        <w:tc>
          <w:tcPr>
            <w:tcW w:type="dxa" w:w="2880"/>
          </w:tcPr>
          <w:p>
            <w:r>
              <w:t>₹76.00 Cr</w:t>
            </w:r>
          </w:p>
        </w:tc>
        <w:tc>
          <w:tcPr>
            <w:tcW w:type="dxa" w:w="2880"/>
          </w:tcPr>
          <w:p>
            <w:r>
              <w:t>Collateral value / 1.25x minimum security cover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Pricing component</w:t>
            </w:r>
          </w:p>
        </w:tc>
        <w:tc>
          <w:tcPr>
            <w:tcW w:type="dxa" w:w="2880"/>
          </w:tcPr>
          <w:p>
            <w:r>
              <w:t>bps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Benchmark (EBLR/MCLR)</w:t>
            </w:r>
          </w:p>
        </w:tc>
        <w:tc>
          <w:tcPr>
            <w:tcW w:type="dxa" w:w="2880"/>
          </w:tcPr>
          <w:p>
            <w:r>
              <w:t>+925</w:t>
            </w:r>
          </w:p>
        </w:tc>
        <w:tc>
          <w:tcPr>
            <w:tcW w:type="dxa" w:w="2880"/>
          </w:tcPr>
          <w:p>
            <w:r>
              <w:t>Bank's external benchmark lending rate (RBI repo 5.50%)</w:t>
            </w:r>
          </w:p>
        </w:tc>
      </w:tr>
      <w:tr>
        <w:tc>
          <w:tcPr>
            <w:tcW w:type="dxa" w:w="2880"/>
          </w:tcPr>
          <w:p>
            <w:r>
              <w:t>Credit risk premium (CX1)</w:t>
            </w:r>
          </w:p>
        </w:tc>
        <w:tc>
          <w:tcPr>
            <w:tcW w:type="dxa" w:w="2880"/>
          </w:tcPr>
          <w:p>
            <w:r>
              <w:t>+50</w:t>
            </w:r>
          </w:p>
        </w:tc>
        <w:tc>
          <w:tcPr>
            <w:tcW w:type="dxa" w:w="2880"/>
          </w:tcPr>
          <w:p>
            <w:r>
              <w:t>Grade-linked spread</w:t>
            </w:r>
          </w:p>
        </w:tc>
      </w:tr>
      <w:tr>
        <w:tc>
          <w:tcPr>
            <w:tcW w:type="dxa" w:w="2880"/>
          </w:tcPr>
          <w:p>
            <w:r>
              <w:t>Tenor premium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Tenor beyond 5 years</w:t>
            </w:r>
          </w:p>
        </w:tc>
      </w:tr>
      <w:tr>
        <w:tc>
          <w:tcPr>
            <w:tcW w:type="dxa" w:w="2880"/>
          </w:tcPr>
          <w:p>
            <w:r>
              <w:t>Collateral discount</w:t>
            </w:r>
          </w:p>
        </w:tc>
        <w:tc>
          <w:tcPr>
            <w:tcW w:type="dxa" w:w="2880"/>
          </w:tcPr>
          <w:p>
            <w:r>
              <w:t>-25</w:t>
            </w:r>
          </w:p>
        </w:tc>
        <w:tc>
          <w:tcPr>
            <w:tcW w:type="dxa" w:w="2880"/>
          </w:tcPr>
          <w:p>
            <w:r>
              <w:t>Security cover 1.58x</w:t>
            </w:r>
          </w:p>
        </w:tc>
      </w:tr>
      <w:tr>
        <w:tc>
          <w:tcPr>
            <w:tcW w:type="dxa" w:w="2880"/>
          </w:tcPr>
          <w:p>
            <w:r>
              <w:t>All-in rate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  <w:tc>
          <w:tcPr>
            <w:tcW w:type="dxa" w:w="2880"/>
          </w:tcPr>
          <w:p>
            <w:r>
              <w:t>Spread 0.45% over benchmark</w:t>
            </w:r>
          </w:p>
        </w:tc>
      </w:tr>
    </w:tbl>
    <w:p>
      <w:r>
        <w:rPr>
          <w:i/>
        </w:rPr>
        <w:t>Recommended ₹60.00 Cr; binding constraint: Requested amount.</w:t>
      </w:r>
    </w:p>
    <w:p>
      <w:pPr>
        <w:pStyle w:val="Heading1"/>
      </w:pPr>
      <w:r>
        <w:t>13. Recommendation &amp; Conditions</w:t>
      </w:r>
    </w:p>
    <w:p>
      <w:r>
        <w:t>Recommendation: Approve — ₹60.00 Cr at 9.7% p.a. for 84 months.</w:t>
      </w:r>
    </w:p>
    <w:p>
      <w:r>
        <w:rPr>
          <w:b/>
        </w:rPr>
        <w:t>Basis of recommendation</w:t>
      </w:r>
    </w:p>
    <w:p>
      <w:pPr>
        <w:pStyle w:val="ListBullet"/>
      </w:pPr>
      <w:r>
        <w:t>Score 863 with all evaluable policy rules passed</w:t>
      </w:r>
    </w:p>
    <w:p>
      <w:r>
        <w:rPr>
          <w:b/>
        </w:rPr>
        <w:t>Terms &amp; conditions</w:t>
      </w:r>
    </w:p>
    <w:p>
      <w:pPr>
        <w:pStyle w:val="ListBullet"/>
      </w:pPr>
      <w:r>
        <w:t>Standard: CERSAI registration of security, insurance with bank clause, annual review</w:t>
      </w:r>
    </w:p>
    <w:p>
      <w:r>
        <w:rPr>
          <w:b/>
        </w:rPr>
        <w:t>Mitigants / strengths</w:t>
      </w:r>
    </w:p>
    <w:p>
      <w:pPr>
        <w:pStyle w:val="ListBullet"/>
      </w:pPr>
      <w:r>
        <w:t>Debt service coverage 6.82x (+42 pts)</w:t>
      </w:r>
    </w:p>
    <w:p>
      <w:pPr>
        <w:pStyle w:val="ListBullet"/>
      </w:pPr>
      <w:r>
        <w:t>Fraud risk score 0 (+29 pts)</w:t>
      </w:r>
    </w:p>
    <w:p>
      <w:pPr>
        <w:pStyle w:val="ListBullet"/>
      </w:pPr>
      <w:r>
        <w:t>Debt / EBITDA 0.86x (+22 pts)</w:t>
      </w:r>
    </w:p>
    <w:p>
      <w:pPr>
        <w:pStyle w:val="ListBullet"/>
      </w:pPr>
      <w:r>
        <w:t>Current ratio 1.86x (+15 pts)</w:t>
      </w:r>
    </w:p>
    <w:p>
      <w:pPr>
        <w:pStyle w:val="ListBullet"/>
      </w:pPr>
      <w:r>
        <w:t>Promoter sentiment +0.68 (+15 pts)</w:t>
      </w:r>
    </w:p>
    <w:p>
      <w:pPr>
        <w:pStyle w:val="Heading1"/>
      </w:pPr>
      <w:r>
        <w:t>Annexure — 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Extraction confidence</w:t>
            </w:r>
          </w:p>
        </w:tc>
      </w:tr>
      <w:tr>
        <w:tc>
          <w:tcPr>
            <w:tcW w:type="dxa" w:w="2880"/>
          </w:tcPr>
          <w:p>
            <w:r>
              <w:t>annual_report_FY25.pdf</w:t>
            </w:r>
          </w:p>
        </w:tc>
        <w:tc>
          <w:tcPr>
            <w:tcW w:type="dxa" w:w="2880"/>
          </w:tcPr>
          <w:p>
            <w:r>
              <w:t>Financial Statement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gst_returns_FY25.pdf</w:t>
            </w:r>
          </w:p>
        </w:tc>
        <w:tc>
          <w:tcPr>
            <w:tcW w:type="dxa" w:w="2880"/>
          </w:tcPr>
          <w:p>
            <w:r>
              <w:t>Gst Return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bank_statement_Oct24-Mar25.pdf</w:t>
            </w:r>
          </w:p>
        </w:tc>
        <w:tc>
          <w:tcPr>
            <w:tcW w:type="dxa" w:w="2880"/>
          </w:tcPr>
          <w:p>
            <w:r>
              <w:t>Bank Statement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mca_mgt7_extract.pdf</w:t>
            </w:r>
          </w:p>
        </w:tc>
        <w:tc>
          <w:tcPr>
            <w:tcW w:type="dxa" w:w="2880"/>
          </w:tcPr>
          <w:p>
            <w:r>
              <w:t>Mca Filing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shareholding_pattern.pdf</w:t>
            </w:r>
          </w:p>
        </w:tc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existing_sanction_letter.pdf</w:t>
            </w:r>
          </w:p>
        </w:tc>
        <w:tc>
          <w:tcPr>
            <w:tcW w:type="dxa" w:w="2880"/>
          </w:tcPr>
          <w:p>
            <w:r>
              <w:t>Sanction Letter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</w:tbl>
    <w:p>
      <w:r>
        <w:rPr>
          <w:i/>
        </w:rPr>
        <w:t>Generated by CredX on 04 Oct 2026 15:23 UTC. Machine-generated recommendation; final sanction rests with the delegated authority.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 (Credit Analyst)</w:t>
            </w:r>
          </w:p>
        </w:tc>
        <w:tc>
          <w:tcPr>
            <w:tcW w:type="dxa" w:w="2880"/>
          </w:tcPr>
          <w:p>
            <w:r>
              <w:t>Reviewed by (Credit Manager)</w:t>
            </w:r>
          </w:p>
        </w:tc>
        <w:tc>
          <w:tcPr>
            <w:tcW w:type="dxa" w:w="2880"/>
          </w:tcPr>
          <w:p>
            <w:r>
              <w:t>Sanctioning Authority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