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4F9C"/>
        </w:rPr>
        <w:t>CREDX · CREDIT APPRAISAL MEMORANDUM</w:t>
      </w:r>
    </w:p>
    <w:p>
      <w:pPr>
        <w:pStyle w:val="Title"/>
      </w:pPr>
      <w:r>
        <w:t>Aarav Textiles Private Limited</w:t>
      </w:r>
    </w:p>
    <w:p>
      <w:pPr>
        <w:jc w:val="left"/>
      </w:pPr>
      <w:r>
        <w:t>CX-2026-0004 · Term Loan · Version 1 · 04 Oct 2026 · Strictly confidential</w:t>
      </w:r>
    </w:p>
    <w:p>
      <w:pPr>
        <w:pStyle w:val="Heading1"/>
      </w:pPr>
      <w:r>
        <w:t>1. Executive Summary</w:t>
      </w:r>
    </w:p>
    <w:p>
      <w:r>
        <w:rPr>
          <w:b/>
        </w:rPr>
        <w:t>Recommendation: Refer to credit committee</w:t>
      </w:r>
    </w:p>
    <w:p>
      <w:r>
        <w:t>Aarav Textiles Private Limited, operating in Textiles &amp; Apparel, has applied for a Term Loan of ₹12.00 Cr. The proposal is referred to the credit committee. The internal score of 659 (CX5) implies a one-year probability of default of 7.76%. Principal concerns are Revenue growth -7.7%; Litigation intensity 32; Receivable days 118 days. These are partly mitigated by Fraud risk score 4; Interest coverage 2.53x; Cash-flow volatility 0.10. We recommend an exposure of ₹0 priced at 12.5% p.a., with sizing bound by the dscr capacity.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659 / 900</w:t>
            </w:r>
          </w:p>
        </w:tc>
      </w:tr>
      <w:tr>
        <w:tc>
          <w:tcPr>
            <w:tcW w:type="dxa" w:w="4320"/>
          </w:tcPr>
          <w:p>
            <w:r>
              <w:t>Internal grade</w:t>
            </w:r>
          </w:p>
        </w:tc>
        <w:tc>
          <w:tcPr>
            <w:tcW w:type="dxa" w:w="4320"/>
          </w:tcPr>
          <w:p>
            <w:r>
              <w:t>CX5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Probability of default (1y)</w:t>
            </w:r>
          </w:p>
        </w:tc>
        <w:tc>
          <w:tcPr>
            <w:tcW w:type="dxa" w:w="4320"/>
          </w:tcPr>
          <w:p>
            <w:r>
              <w:t>7.76%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Suggested rate</w:t>
            </w:r>
          </w:p>
        </w:tc>
        <w:tc>
          <w:tcPr>
            <w:tcW w:type="dxa" w:w="4320"/>
          </w:tcPr>
          <w:p>
            <w:r>
              <w:t>12.5% p.a.</w:t>
            </w:r>
          </w:p>
        </w:tc>
      </w:tr>
      <w:tr>
        <w:tc>
          <w:tcPr>
            <w:tcW w:type="dxa" w:w="4320"/>
          </w:tcPr>
          <w:p>
            <w:r>
              <w:t>Fraud risk score</w:t>
            </w:r>
          </w:p>
        </w:tc>
        <w:tc>
          <w:tcPr>
            <w:tcW w:type="dxa" w:w="4320"/>
          </w:tcPr>
          <w:p>
            <w:r>
              <w:t>4 / 100</w:t>
            </w:r>
          </w:p>
        </w:tc>
      </w:tr>
      <w:tr>
        <w:tc>
          <w:tcPr>
            <w:tcW w:type="dxa" w:w="4320"/>
          </w:tcPr>
          <w:p>
            <w:r>
              <w:t>Approval likelihood</w:t>
            </w:r>
          </w:p>
        </w:tc>
        <w:tc>
          <w:tcPr>
            <w:tcW w:type="dxa" w:w="4320"/>
          </w:tcPr>
          <w:p>
            <w:r>
              <w:t>46%</w:t>
            </w:r>
          </w:p>
        </w:tc>
      </w:tr>
    </w:tbl>
    <w:p>
      <w:pPr>
        <w:pStyle w:val="Heading1"/>
      </w:pPr>
      <w:r>
        <w:t>2.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Aarav Textiles Private Limited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Private Limited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U17110TZ2008PTC014562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AAICA6684P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33AAICA6684P1Z0</w:t>
            </w:r>
          </w:p>
        </w:tc>
      </w:tr>
      <w:tr>
        <w:tc>
          <w:tcPr>
            <w:tcW w:type="dxa" w:w="4320"/>
          </w:tcPr>
          <w:p>
            <w:r>
              <w:t>Incorporated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Textiles &amp; Apparel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Tiruppur, Tamil Nadu</w:t>
            </w:r>
          </w:p>
        </w:tc>
      </w:tr>
      <w:tr>
        <w:tc>
          <w:tcPr>
            <w:tcW w:type="dxa" w:w="4320"/>
          </w:tcPr>
          <w:p>
            <w:r>
              <w:t>Promoters / directors</w:t>
            </w:r>
          </w:p>
        </w:tc>
        <w:tc>
          <w:tcPr>
            <w:tcW w:type="dxa" w:w="4320"/>
          </w:tcPr>
          <w:p>
            <w:r>
              <w:t>Meena Aravind (DIN 02566781), Aravind Kumar (DIN 02566782)</w:t>
            </w:r>
          </w:p>
        </w:tc>
      </w:tr>
      <w:tr>
        <w:tc>
          <w:tcPr>
            <w:tcW w:type="dxa" w:w="4320"/>
          </w:tcPr>
          <w:p>
            <w:r>
              <w:t>External rating</w:t>
            </w:r>
          </w:p>
        </w:tc>
        <w:tc>
          <w:tcPr>
            <w:tcW w:type="dxa" w:w="4320"/>
          </w:tcPr>
          <w:p>
            <w:r>
              <w:t>BB+/Stable (demo agency)</w:t>
            </w:r>
          </w:p>
        </w:tc>
      </w:tr>
    </w:tbl>
    <w:p>
      <w:pPr>
        <w:pStyle w:val="Heading1"/>
      </w:pPr>
      <w:r>
        <w:t>3. Proposed Facility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Case reference</w:t>
            </w:r>
          </w:p>
        </w:tc>
        <w:tc>
          <w:tcPr>
            <w:tcW w:type="dxa" w:w="4320"/>
          </w:tcPr>
          <w:p>
            <w:r>
              <w:t>CX-2026-0004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Term Loan</w:t>
            </w:r>
          </w:p>
        </w:tc>
      </w:tr>
      <w:tr>
        <w:tc>
          <w:tcPr>
            <w:tcW w:type="dxa" w:w="4320"/>
          </w:tcPr>
          <w:p>
            <w:r>
              <w:t>Amount requested</w:t>
            </w:r>
          </w:p>
        </w:tc>
        <w:tc>
          <w:tcPr>
            <w:tcW w:type="dxa" w:w="4320"/>
          </w:tcPr>
          <w:p>
            <w:r>
              <w:t>₹12,00,00,000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60 months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Rooftop solar and compacting machinery to cut conversion costs</w:t>
            </w:r>
          </w:p>
        </w:tc>
      </w:tr>
      <w:tr>
        <w:tc>
          <w:tcPr>
            <w:tcW w:type="dxa" w:w="4320"/>
          </w:tcPr>
          <w:p>
            <w:r>
              <w:t>Security offered</w:t>
            </w:r>
          </w:p>
        </w:tc>
        <w:tc>
          <w:tcPr>
            <w:tcW w:type="dxa" w:w="4320"/>
          </w:tcPr>
          <w:p>
            <w:r>
              <w:t>Mortgage of factory at Avinashi; personal guarantee of promoters</w:t>
            </w:r>
          </w:p>
        </w:tc>
      </w:tr>
      <w:tr>
        <w:tc>
          <w:tcPr>
            <w:tcW w:type="dxa" w:w="4320"/>
          </w:tcPr>
          <w:p>
            <w:r>
              <w:t>Security value</w:t>
            </w:r>
          </w:p>
        </w:tc>
        <w:tc>
          <w:tcPr>
            <w:tcW w:type="dxa" w:w="4320"/>
          </w:tcPr>
          <w:p>
            <w:r>
              <w:t>₹15.00 Cr</w:t>
            </w:r>
          </w:p>
        </w:tc>
      </w:tr>
    </w:tbl>
    <w:p>
      <w:pPr>
        <w:pStyle w:val="Heading1"/>
      </w:pPr>
      <w:r>
        <w:t>4. 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  <w:tc>
          <w:tcPr>
            <w:tcW w:type="dxa" w:w="2160"/>
          </w:tcPr>
          <w:p>
            <w:r>
              <w:t>FY25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₹98.00 Cr</w:t>
            </w:r>
          </w:p>
        </w:tc>
        <w:tc>
          <w:tcPr>
            <w:tcW w:type="dxa" w:w="2160"/>
          </w:tcPr>
          <w:p>
            <w:r>
              <w:t>₹104.00 Cr</w:t>
            </w:r>
          </w:p>
        </w:tc>
        <w:tc>
          <w:tcPr>
            <w:tcW w:type="dxa" w:w="2160"/>
          </w:tcPr>
          <w:p>
            <w:r>
              <w:t>₹96.00 Cr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₹11.20 Cr</w:t>
            </w:r>
          </w:p>
        </w:tc>
        <w:tc>
          <w:tcPr>
            <w:tcW w:type="dxa" w:w="2160"/>
          </w:tcPr>
          <w:p>
            <w:r>
              <w:t>₹11.80 Cr</w:t>
            </w:r>
          </w:p>
        </w:tc>
        <w:tc>
          <w:tcPr>
            <w:tcW w:type="dxa" w:w="2160"/>
          </w:tcPr>
          <w:p>
            <w:r>
              <w:t>₹9.10 Cr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</w:tr>
      <w:tr>
        <w:tc>
          <w:tcPr>
            <w:tcW w:type="dxa" w:w="2160"/>
          </w:tcPr>
          <w:p>
            <w:r>
              <w:t>PAT</w:t>
            </w:r>
          </w:p>
        </w:tc>
        <w:tc>
          <w:tcPr>
            <w:tcW w:type="dxa" w:w="2160"/>
          </w:tcPr>
          <w:p>
            <w:r>
              <w:t>₹3.70 Cr</w:t>
            </w:r>
          </w:p>
        </w:tc>
        <w:tc>
          <w:tcPr>
            <w:tcW w:type="dxa" w:w="2160"/>
          </w:tcPr>
          <w:p>
            <w:r>
              <w:t>₹3.90 Cr</w:t>
            </w:r>
          </w:p>
        </w:tc>
        <w:tc>
          <w:tcPr>
            <w:tcW w:type="dxa" w:w="2160"/>
          </w:tcPr>
          <w:p>
            <w:r>
              <w:t>₹1.80 Cr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</w:tr>
      <w:tr>
        <w:tc>
          <w:tcPr>
            <w:tcW w:type="dxa" w:w="2160"/>
          </w:tcPr>
          <w:p>
            <w:r>
              <w:t>Total debt</w:t>
            </w:r>
          </w:p>
        </w:tc>
        <w:tc>
          <w:tcPr>
            <w:tcW w:type="dxa" w:w="2160"/>
          </w:tcPr>
          <w:p>
            <w:r>
              <w:t>₹35.00 Cr</w:t>
            </w:r>
          </w:p>
        </w:tc>
        <w:tc>
          <w:tcPr>
            <w:tcW w:type="dxa" w:w="2160"/>
          </w:tcPr>
          <w:p>
            <w:r>
              <w:t>₹38.00 Cr</w:t>
            </w:r>
          </w:p>
        </w:tc>
        <w:tc>
          <w:tcPr>
            <w:tcW w:type="dxa" w:w="2160"/>
          </w:tcPr>
          <w:p>
            <w:r>
              <w:t>₹41.00 Cr</w:t>
            </w:r>
          </w:p>
        </w:tc>
      </w:tr>
      <w:tr>
        <w:tc>
          <w:tcPr>
            <w:tcW w:type="dxa" w:w="2160"/>
          </w:tcPr>
          <w:p>
            <w:r>
              <w:t>Net worth</w:t>
            </w:r>
          </w:p>
        </w:tc>
        <w:tc>
          <w:tcPr>
            <w:tcW w:type="dxa" w:w="2160"/>
          </w:tcPr>
          <w:p>
            <w:r>
              <w:t>₹27.60 Cr</w:t>
            </w:r>
          </w:p>
        </w:tc>
        <w:tc>
          <w:tcPr>
            <w:tcW w:type="dxa" w:w="2160"/>
          </w:tcPr>
          <w:p>
            <w:r>
              <w:t>₹31.50 Cr</w:t>
            </w:r>
          </w:p>
        </w:tc>
        <w:tc>
          <w:tcPr>
            <w:tcW w:type="dxa" w:w="2160"/>
          </w:tcPr>
          <w:p>
            <w:r>
              <w:t>₹33.00 Cr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3.12x</w:t>
            </w:r>
          </w:p>
        </w:tc>
        <w:tc>
          <w:tcPr>
            <w:tcW w:type="dxa" w:w="2160"/>
          </w:tcPr>
          <w:p>
            <w:r>
              <w:t>3.22x</w:t>
            </w:r>
          </w:p>
        </w:tc>
        <w:tc>
          <w:tcPr>
            <w:tcW w:type="dxa" w:w="2160"/>
          </w:tcPr>
          <w:p>
            <w:r>
              <w:t>4.51x</w:t>
            </w:r>
          </w:p>
        </w:tc>
      </w:tr>
      <w:tr>
        <w:tc>
          <w:tcPr>
            <w:tcW w:type="dxa" w:w="2160"/>
          </w:tcPr>
          <w:p>
            <w:r>
              <w:t>Debt / Equity</w:t>
            </w:r>
          </w:p>
        </w:tc>
        <w:tc>
          <w:tcPr>
            <w:tcW w:type="dxa" w:w="2160"/>
          </w:tcPr>
          <w:p>
            <w:r>
              <w:t>1.27x</w:t>
            </w:r>
          </w:p>
        </w:tc>
        <w:tc>
          <w:tcPr>
            <w:tcW w:type="dxa" w:w="2160"/>
          </w:tcPr>
          <w:p>
            <w:r>
              <w:t>1.21x</w:t>
            </w:r>
          </w:p>
        </w:tc>
        <w:tc>
          <w:tcPr>
            <w:tcW w:type="dxa" w:w="2160"/>
          </w:tcPr>
          <w:p>
            <w:r>
              <w:t>1.24x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3.73x</w:t>
            </w:r>
          </w:p>
        </w:tc>
        <w:tc>
          <w:tcPr>
            <w:tcW w:type="dxa" w:w="2160"/>
          </w:tcPr>
          <w:p>
            <w:r>
              <w:t>1.62x</w:t>
            </w:r>
          </w:p>
        </w:tc>
        <w:tc>
          <w:tcPr>
            <w:tcW w:type="dxa" w:w="2160"/>
          </w:tcPr>
          <w:p>
            <w:r>
              <w:t>1.20x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3.73x</w:t>
            </w:r>
          </w:p>
        </w:tc>
        <w:tc>
          <w:tcPr>
            <w:tcW w:type="dxa" w:w="2160"/>
          </w:tcPr>
          <w:p>
            <w:r>
              <w:t>3.58x</w:t>
            </w:r>
          </w:p>
        </w:tc>
        <w:tc>
          <w:tcPr>
            <w:tcW w:type="dxa" w:w="2160"/>
          </w:tcPr>
          <w:p>
            <w:r>
              <w:t>2.53x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1.30x</w:t>
            </w:r>
          </w:p>
        </w:tc>
        <w:tc>
          <w:tcPr>
            <w:tcW w:type="dxa" w:w="2160"/>
          </w:tcPr>
          <w:p>
            <w:r>
              <w:t>1.28x</w:t>
            </w:r>
          </w:p>
        </w:tc>
        <w:tc>
          <w:tcPr>
            <w:tcW w:type="dxa" w:w="2160"/>
          </w:tcPr>
          <w:p>
            <w:r>
              <w:t>1.17x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</w:tbl>
    <w:p>
      <w:r>
        <w:rPr>
          <w:i/>
        </w:rPr>
        <w:t>Figures extracted from uploaded statements; each value carries document/page provenance in CredX.</w:t>
      </w:r>
    </w:p>
    <w:p>
      <w:pPr>
        <w:pStyle w:val="Heading1"/>
      </w:pPr>
      <w:r>
        <w:t>5. Banking Conduct &amp; GST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GSTR-2A/2B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3B ₹96.00 Cr vs 2A/2B ₹93.50 Cr — variance 2.6% (tolerance 5%).</w:t>
            </w:r>
          </w:p>
        </w:tc>
      </w:tr>
      <w:tr>
        <w:tc>
          <w:tcPr>
            <w:tcW w:type="dxa" w:w="2880"/>
          </w:tcPr>
          <w:p>
            <w:r>
              <w:t>GSTR-1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Outward supplies declared ₹95.20 Cr vs tax paid on ₹96.00 Cr (0.8%).</w:t>
            </w:r>
          </w:p>
        </w:tc>
      </w:tr>
      <w:tr>
        <w:tc>
          <w:tcPr>
            <w:tcW w:type="dxa" w:w="2880"/>
          </w:tcPr>
          <w:p>
            <w:r>
              <w:t>Bank credits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Annualised bank credits ₹91.90 Cr are 81% of GST turnover incl. tax.</w:t>
            </w:r>
          </w:p>
        </w:tc>
      </w:tr>
      <w:tr>
        <w:tc>
          <w:tcPr>
            <w:tcW w:type="dxa" w:w="2880"/>
          </w:tcPr>
          <w:p>
            <w:r>
              <w:t>Book revenue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Financial-statement revenue ₹96.00 Cr vs GST turnover ₹96.00 Cr (0.0%).</w:t>
            </w:r>
          </w:p>
        </w:tc>
      </w:tr>
      <w:tr>
        <w:tc>
          <w:tcPr>
            <w:tcW w:type="dxa" w:w="2880"/>
          </w:tcPr>
          <w:p>
            <w:r>
              <w:t>Return filing timeliness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Returns filed up to 2 days late.</w:t>
            </w:r>
          </w:p>
        </w:tc>
      </w:tr>
      <w:tr>
        <w:tc>
          <w:tcPr>
            <w:tcW w:type="dxa" w:w="2880"/>
          </w:tcPr>
          <w:p>
            <w:r>
              <w:t>GSTIN validity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GSTIN(s) pass checksum and state-code validation.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Credits</w:t>
            </w:r>
          </w:p>
        </w:tc>
        <w:tc>
          <w:tcPr>
            <w:tcW w:type="dxa" w:w="1440"/>
          </w:tcPr>
          <w:p>
            <w:r>
              <w:t>Closing bal.</w:t>
            </w:r>
          </w:p>
        </w:tc>
        <w:tc>
          <w:tcPr>
            <w:tcW w:type="dxa" w:w="1440"/>
          </w:tcPr>
          <w:p>
            <w:r>
              <w:t>Bounces</w:t>
            </w:r>
          </w:p>
        </w:tc>
        <w:tc>
          <w:tcPr>
            <w:tcW w:type="dxa" w:w="1440"/>
          </w:tcPr>
          <w:p>
            <w:r>
              <w:t>Overdrawn days</w:t>
            </w:r>
          </w:p>
        </w:tc>
      </w:tr>
      <w:tr>
        <w:tc>
          <w:tcPr>
            <w:tcW w:type="dxa" w:w="1440"/>
          </w:tcPr>
          <w:p>
            <w:r>
              <w:t>bank_statement_Oct24-Mar25.pdf</w:t>
            </w:r>
          </w:p>
        </w:tc>
        <w:tc>
          <w:tcPr>
            <w:tcW w:type="dxa" w:w="1440"/>
          </w:tcPr>
          <w:p>
            <w:r>
              <w:t>XXXX2345</w:t>
            </w:r>
          </w:p>
        </w:tc>
        <w:tc>
          <w:tcPr>
            <w:tcW w:type="dxa" w:w="1440"/>
          </w:tcPr>
          <w:p>
            <w:r>
              <w:t>₹45.95 Cr</w:t>
            </w:r>
          </w:p>
        </w:tc>
        <w:tc>
          <w:tcPr>
            <w:tcW w:type="dxa" w:w="1440"/>
          </w:tcPr>
          <w:p>
            <w:r>
              <w:t>₹62.00 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6. Promoter, Litigation &amp; Market Intelligence</w:t>
      </w:r>
    </w:p>
    <w:p>
      <w:r>
        <w:t>5 external items were reviewed for Aarav Textiles Private Limited; overall promoter/company sentiment is negative. Adverse coverage: Tiruppur knitwear exporters report slowdown as US orders soften [1]; Labour / statutory dues dispute — pending (claim ₹0.60 Cr) [5]. Supportive developments: Aarav Textiles adds rooftop solar to cut power costs by 18% [4]; Cotton prices ease; RoDTEP rates extended for apparel exports [2]. Litigation exposure is medium (score 32/100 across 3 matter(s)). Sector view (Textiles &amp; Apparel): outlook weak; key headwind — soft export demand from us/eu retailers.</w:t>
      </w:r>
    </w:p>
    <w:p>
      <w:pPr>
        <w:pStyle w:val="ListBullet"/>
      </w:pPr>
      <w:r>
        <w:t>Litigation risk: MEDIUM</w:t>
      </w:r>
    </w:p>
    <w:p>
      <w:pPr>
        <w:pStyle w:val="ListBullet"/>
      </w:pPr>
      <w:r>
        <w:t>Promoter sentiment: NEGATIVE</w:t>
      </w:r>
    </w:p>
    <w:p>
      <w:pPr>
        <w:pStyle w:val="ListBullet"/>
      </w:pPr>
      <w:r>
        <w:t>Sector outlook: WEAK</w:t>
      </w:r>
    </w:p>
    <w:p>
      <w:pPr>
        <w:pStyle w:val="ListBullet"/>
      </w:pPr>
      <w:r>
        <w:t>Overall external risk: HIGH</w:t>
      </w:r>
    </w:p>
    <w:p>
      <w:pPr>
        <w:pStyle w:val="ListBullet"/>
      </w:pPr>
      <w:r>
        <w:t>[HIGH] Tiruppur knitwear exporters report slowdown as US orders soften — Tiruppur Textile Times (demo) (demo data)</w:t>
      </w:r>
    </w:p>
    <w:p>
      <w:pPr>
        <w:pStyle w:val="ListBullet"/>
      </w:pPr>
      <w:r>
        <w:t>[LOW] Cotton prices ease; RoDTEP rates extended for apparel exports — Textile Policy Monitor (demo) (demo data)</w:t>
      </w:r>
    </w:p>
    <w:p>
      <w:pPr>
        <w:pStyle w:val="ListBullet"/>
      </w:pPr>
      <w:r>
        <w:t>[LOW] Labour court hears wage dispute at Aarav Textiles' Avinashi unit — Labour Courts Digest (demo) (demo data)</w:t>
      </w:r>
    </w:p>
    <w:p>
      <w:pPr>
        <w:pStyle w:val="ListBullet"/>
      </w:pPr>
      <w:r>
        <w:t>[LOW] Aarav Textiles adds rooftop solar to cut power costs by 18% — Tiruppur Textile Times (demo) (demo data)</w:t>
      </w:r>
    </w:p>
    <w:p>
      <w:pPr>
        <w:pStyle w:val="ListBullet"/>
      </w:pPr>
      <w:r>
        <w:t>[MEDIUM] Labour / statutory dues dispute — pending (claim ₹0.60 Cr) — Uploaded document: legal_notice_1.pdf</w:t>
      </w:r>
    </w:p>
    <w:p>
      <w:pPr>
        <w:pStyle w:val="Heading1"/>
      </w:pPr>
      <w:r>
        <w:t>7. Sector &amp; Regulatory Conditions</w:t>
      </w:r>
    </w:p>
    <w:p>
      <w:r>
        <w:t>Textiles &amp; Apparel — outlook WEAK, sector risk band 4/5 (knowledge base 2026.10).</w:t>
      </w:r>
    </w:p>
    <w:p>
      <w:r>
        <w:rPr>
          <w:b/>
        </w:rPr>
        <w:t>Headwinds</w:t>
      </w:r>
    </w:p>
    <w:p>
      <w:pPr>
        <w:pStyle w:val="ListBullet"/>
      </w:pPr>
      <w:r>
        <w:t>Soft export demand from US/EU retailers</w:t>
      </w:r>
    </w:p>
    <w:p>
      <w:pPr>
        <w:pStyle w:val="ListBullet"/>
      </w:pPr>
      <w:r>
        <w:t>Competition from Bangladesh and Vietnam</w:t>
      </w:r>
    </w:p>
    <w:p>
      <w:pPr>
        <w:pStyle w:val="ListBullet"/>
      </w:pPr>
      <w:r>
        <w:t>Cotton price volatility</w:t>
      </w:r>
    </w:p>
    <w:p>
      <w:pPr>
        <w:pStyle w:val="ListBullet"/>
      </w:pPr>
      <w:r>
        <w:t>Working-capital intensive with long receivable cycles</w:t>
      </w:r>
    </w:p>
    <w:p>
      <w:r>
        <w:rPr>
          <w:b/>
        </w:rPr>
        <w:t>Tailwinds</w:t>
      </w:r>
    </w:p>
    <w:p>
      <w:pPr>
        <w:pStyle w:val="ListBullet"/>
      </w:pPr>
      <w:r>
        <w:t>PM MITRA textile parks</w:t>
      </w:r>
    </w:p>
    <w:p>
      <w:pPr>
        <w:pStyle w:val="ListBullet"/>
      </w:pPr>
      <w:r>
        <w:t>PLI scheme for MMF and technical textiles</w:t>
      </w:r>
    </w:p>
    <w:p>
      <w:pPr>
        <w:pStyle w:val="ListBullet"/>
      </w:pPr>
      <w:r>
        <w:t>RoDTEP/RoSCTL export incentives</w:t>
      </w:r>
    </w:p>
    <w:p>
      <w:pPr>
        <w:pStyle w:val="ListBullet"/>
      </w:pPr>
      <w:r>
        <w:t>India–UK and India–EFTA trade agreements</w:t>
      </w:r>
    </w:p>
    <w:p>
      <w:r>
        <w:rPr>
          <w:b/>
        </w:rPr>
        <w:t>RBI / regulatory context</w:t>
      </w:r>
    </w:p>
    <w:p>
      <w:pPr>
        <w:pStyle w:val="ListBullet"/>
      </w:pPr>
      <w:r>
        <w:t>Most units qualify as MSME under RBI priority-sector lending norms</w:t>
      </w:r>
    </w:p>
    <w:p>
      <w:pPr>
        <w:pStyle w:val="ListBullet"/>
      </w:pPr>
      <w:r>
        <w:t>MSME restructuring history should be checked in CRILC/CIC data</w:t>
      </w:r>
    </w:p>
    <w:p>
      <w:pPr>
        <w:pStyle w:val="ListBullet"/>
      </w:pPr>
      <w:r>
        <w:t>Export credit eligible for interest equalisation where notified</w:t>
      </w:r>
    </w:p>
    <w:p>
      <w:pPr>
        <w:pStyle w:val="Heading1"/>
      </w:pPr>
      <w:r>
        <w:t>8. Fraud &amp; Forensic Observations</w:t>
      </w:r>
    </w:p>
    <w:p>
      <w:r>
        <w:t>Fraud risk score 4/100 (LOW). Graph of 6 companies and 7 relationships analysed. No circular trading loops found. GST reconciliation within tolerance.</w:t>
      </w:r>
    </w:p>
    <w:p>
      <w:pPr>
        <w:pStyle w:val="ListBullet"/>
      </w:pPr>
      <w:r>
        <w:t>No graph or GST forensic alerts.</w:t>
      </w:r>
    </w:p>
    <w:p>
      <w:pPr>
        <w:pStyle w:val="Heading1"/>
      </w:pPr>
      <w:r>
        <w:t>9. Five Cs of Credit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</w:tr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Fraud risk score: 4 (+20 pts); Litigation intensity: 32 (-8 pts); GST mismatch: 2.6% (+4 pts)</w:t>
            </w:r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Interest coverage: 2.53x (+8 pts); Cash-flow volatility: 0.10 (+8 pts); Debt service coverage: 1.20x (+7 pts)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Debt / EBITDA: 4.51x (-4 pts); Promoter pledge: 0.0% (+3 pts); Debt / equity: 1.24x (+2 pts)</w:t>
            </w:r>
          </w:p>
        </w:tc>
      </w:tr>
      <w:tr>
        <w:tc>
          <w:tcPr>
            <w:tcW w:type="dxa" w:w="2160"/>
          </w:tcPr>
          <w:p>
            <w:r>
              <w:t>Collateral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Offered security: Mortgage of factory at Avinashi; personal guarantee of promoters; Collateral coverage: 1.25x (+2 pts)</w:t>
            </w:r>
          </w:p>
        </w:tc>
      </w:tr>
      <w:tr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Revenue growth: -7.7% (-11 pts); Sector risk: 4 (-5 pts); Sector: Textiles &amp; Apparel — outlook WEAK</w:t>
            </w:r>
          </w:p>
        </w:tc>
      </w:tr>
    </w:tbl>
    <w:p>
      <w:pPr>
        <w:pStyle w:val="Heading1"/>
      </w:pPr>
      <w:r>
        <w:t>10. Risk Rating &amp; Explainability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Score impact</w:t>
            </w:r>
          </w:p>
        </w:tc>
        <w:tc>
          <w:tcPr>
            <w:tcW w:type="dxa" w:w="2160"/>
          </w:tcPr>
          <w:p>
            <w:r>
              <w:t>Five C</w:t>
            </w:r>
          </w:p>
        </w:tc>
      </w:tr>
      <w:tr>
        <w:tc>
          <w:tcPr>
            <w:tcW w:type="dxa" w:w="2160"/>
          </w:tcPr>
          <w:p>
            <w:r>
              <w:t>Fraud risk score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+20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-11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2.53x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Cash-flow volatility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Litigation intensity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-8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Debt service coverage</w:t>
            </w:r>
          </w:p>
        </w:tc>
        <w:tc>
          <w:tcPr>
            <w:tcW w:type="dxa" w:w="2160"/>
          </w:tcPr>
          <w:p>
            <w:r>
              <w:t>1.20x</w:t>
            </w:r>
          </w:p>
        </w:tc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118 days</w:t>
            </w:r>
          </w:p>
        </w:tc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Sector risk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4.51x</w:t>
            </w:r>
          </w:p>
        </w:tc>
        <w:tc>
          <w:tcPr>
            <w:tcW w:type="dxa" w:w="2160"/>
          </w:tcPr>
          <w:p>
            <w:r>
              <w:t>-4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GST mismatch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+4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Promoter pledge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+3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Business vintage</w:t>
            </w:r>
          </w:p>
        </w:tc>
        <w:tc>
          <w:tcPr>
            <w:tcW w:type="dxa" w:w="2160"/>
          </w:tcPr>
          <w:p>
            <w:r>
              <w:t>18 yrs</w:t>
            </w:r>
          </w:p>
        </w:tc>
        <w:tc>
          <w:tcPr>
            <w:tcW w:type="dxa" w:w="2160"/>
          </w:tcPr>
          <w:p>
            <w:r>
              <w:t>+3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Factory operating at 45% capacity during site visit; 6 of 14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-18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Promoter infused ₹3 crore equity in Q1 FY26 to support worki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+12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Overlay: Margin compression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Low capacity utilisation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rule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KO-01 Wilful defaulter / RBI defaulter list</w:t>
            </w:r>
          </w:p>
        </w:tc>
        <w:tc>
          <w:tcPr>
            <w:tcW w:type="dxa" w:w="2160"/>
          </w:tcPr>
          <w:p>
            <w:r>
              <w:t>Not on 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KO-02 Existing NPA / SMA-2 classification</w:t>
            </w:r>
          </w:p>
        </w:tc>
        <w:tc>
          <w:tcPr>
            <w:tcW w:type="dxa" w:w="2160"/>
          </w:tcPr>
          <w:p>
            <w:r>
              <w:t>Standard asset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KO-03 Admitted insolvency proceedings</w:t>
            </w:r>
          </w:p>
        </w:tc>
        <w:tc>
          <w:tcPr>
            <w:tcW w:type="dxa" w:w="2160"/>
          </w:tcPr>
          <w:p>
            <w:r>
              <w:t>No CIRP admitted</w:t>
            </w:r>
          </w:p>
        </w:tc>
        <w:tc>
          <w:tcPr>
            <w:tcW w:type="dxa" w:w="2160"/>
          </w:tcPr>
          <w:p>
            <w:r>
              <w:t>none admitted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KO-04 Fraud risk score</w:t>
            </w:r>
          </w:p>
        </w:tc>
        <w:tc>
          <w:tcPr>
            <w:tcW w:type="dxa" w:w="2160"/>
          </w:tcPr>
          <w:p>
            <w:r>
              <w:t>&lt; 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KO-05 Debt service coverage</w:t>
            </w:r>
          </w:p>
        </w:tc>
        <w:tc>
          <w:tcPr>
            <w:tcW w:type="dxa" w:w="2160"/>
          </w:tcPr>
          <w:p>
            <w:r>
              <w:t>&gt;= 0.90x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DV-01 Minimum DSCR</w:t>
            </w:r>
          </w:p>
        </w:tc>
        <w:tc>
          <w:tcPr>
            <w:tcW w:type="dxa" w:w="2160"/>
          </w:tcPr>
          <w:p>
            <w:r>
              <w:t>&gt;= 1.25x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DV-02 Maximum Debt / EBITDA</w:t>
            </w:r>
          </w:p>
        </w:tc>
        <w:tc>
          <w:tcPr>
            <w:tcW w:type="dxa" w:w="2160"/>
          </w:tcPr>
          <w:p>
            <w:r>
              <w:t>&lt;= 4.0x</w:t>
            </w:r>
          </w:p>
        </w:tc>
        <w:tc>
          <w:tcPr>
            <w:tcW w:type="dxa" w:w="2160"/>
          </w:tcPr>
          <w:p>
            <w:r>
              <w:t>4.51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DV-03 Maximum Debt / Equity</w:t>
            </w:r>
          </w:p>
        </w:tc>
        <w:tc>
          <w:tcPr>
            <w:tcW w:type="dxa" w:w="2160"/>
          </w:tcPr>
          <w:p>
            <w:r>
              <w:t>&lt;= 3.0x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DV-04 Minimum current ratio</w:t>
            </w:r>
          </w:p>
        </w:tc>
        <w:tc>
          <w:tcPr>
            <w:tcW w:type="dxa" w:w="2160"/>
          </w:tcPr>
          <w:p>
            <w:r>
              <w:t>&gt;= 1.10x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DV-05 GST turnover reconciliation</w:t>
            </w:r>
          </w:p>
        </w:tc>
        <w:tc>
          <w:tcPr>
            <w:tcW w:type="dxa" w:w="2160"/>
          </w:tcPr>
          <w:p>
            <w:r>
              <w:t>&lt;= 10% variance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DV-06 Promoter pledge</w:t>
            </w:r>
          </w:p>
        </w:tc>
        <w:tc>
          <w:tcPr>
            <w:tcW w:type="dxa" w:w="2160"/>
          </w:tcPr>
          <w:p>
            <w:r>
              <w:t>&lt;= 50%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DV-07 Collateral coverage</w:t>
            </w:r>
          </w:p>
        </w:tc>
        <w:tc>
          <w:tcPr>
            <w:tcW w:type="dxa" w:w="2160"/>
          </w:tcPr>
          <w:p>
            <w:r>
              <w:t>&gt;= 1.0x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DV-08 Litigation intensity</w:t>
            </w:r>
          </w:p>
        </w:tc>
        <w:tc>
          <w:tcPr>
            <w:tcW w:type="dxa" w:w="2160"/>
          </w:tcPr>
          <w:p>
            <w:r>
              <w:t>&lt;= 60</w:t>
            </w:r>
          </w:p>
        </w:tc>
        <w:tc>
          <w:tcPr>
            <w:tcW w:type="dxa" w:w="2160"/>
          </w:tcPr>
          <w:p>
            <w:r>
              <w:t>31.6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DV-09 Cheque/ECS bounces (6m)</w:t>
            </w:r>
          </w:p>
        </w:tc>
        <w:tc>
          <w:tcPr>
            <w:tcW w:type="dxa" w:w="2160"/>
          </w:tcPr>
          <w:p>
            <w:r>
              <w:t>&lt;= 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DV-10 Going-concern / audit qualification</w:t>
            </w:r>
          </w:p>
        </w:tc>
        <w:tc>
          <w:tcPr>
            <w:tcW w:type="dxa" w:w="2160"/>
          </w:tcPr>
          <w:p>
            <w:r>
              <w:t>Clean opinion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i/>
        </w:rPr>
        <w:t>Model score 681 = base 657 pts + feature points (exact TreeSHAP attribution, PDO-scaled); overlays -22 pts give final score 659. Model xgb-20261004-131921 (AUC 0.8764).</w:t>
      </w:r>
    </w:p>
    <w:p>
      <w:pPr>
        <w:pStyle w:val="Heading1"/>
      </w:pPr>
      <w:r>
        <w:t>11. Analyst Observations</w:t>
      </w:r>
    </w:p>
    <w:p>
      <w:r>
        <w:t>2 qualitative observation(s) recorded by the underwriting team.</w:t>
      </w:r>
    </w:p>
    <w:p>
      <w:pPr>
        <w:pStyle w:val="ListBullet"/>
      </w:pPr>
      <w:r>
        <w:t>Site Visit: Factory operating at 45% capacity during site visit; 6 of 14 knitting machines idle due to soft US orders. (score impact -18 pts)</w:t>
      </w:r>
    </w:p>
    <w:p>
      <w:pPr>
        <w:pStyle w:val="ListBullet"/>
      </w:pPr>
      <w:r>
        <w:t>Management: Promoter infused ₹3 crore equity in Q1 FY26 to support working capital. (score impact +12 pts)</w:t>
      </w:r>
    </w:p>
    <w:p>
      <w:pPr>
        <w:pStyle w:val="Heading1"/>
      </w:pPr>
      <w:r>
        <w:t>12. Loan Sizing &amp; Risk-Based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Eligible amount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Requested amount</w:t>
            </w:r>
          </w:p>
        </w:tc>
        <w:tc>
          <w:tcPr>
            <w:tcW w:type="dxa" w:w="2880"/>
          </w:tcPr>
          <w:p>
            <w:r>
              <w:t>₹12.00 Cr</w:t>
            </w:r>
          </w:p>
        </w:tc>
        <w:tc>
          <w:tcPr>
            <w:tcW w:type="dxa" w:w="2880"/>
          </w:tcPr>
          <w:p>
            <w:r>
              <w:t>Applicant request</w:t>
            </w:r>
          </w:p>
        </w:tc>
      </w:tr>
      <w:tr>
        <w:tc>
          <w:tcPr>
            <w:tcW w:type="dxa" w:w="2880"/>
          </w:tcPr>
          <w:p>
            <w:r>
              <w:t>DSCR capacity ★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EBITDA / 1.35x target DSCR less existing debt service, 5-yr annuity @ 12.50%</w:t>
            </w:r>
          </w:p>
        </w:tc>
      </w:tr>
      <w:tr>
        <w:tc>
          <w:tcPr>
            <w:tcW w:type="dxa" w:w="2880"/>
          </w:tcPr>
          <w:p>
            <w:r>
              <w:t>Leverage ceiling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4.00x Debt/EBITDA for grade less existing debt</w:t>
            </w:r>
          </w:p>
        </w:tc>
      </w:tr>
      <w:tr>
        <w:tc>
          <w:tcPr>
            <w:tcW w:type="dxa" w:w="2880"/>
          </w:tcPr>
          <w:p>
            <w:r>
              <w:t>Security cover</w:t>
            </w:r>
          </w:p>
        </w:tc>
        <w:tc>
          <w:tcPr>
            <w:tcW w:type="dxa" w:w="2880"/>
          </w:tcPr>
          <w:p>
            <w:r>
              <w:t>₹12.00 Cr</w:t>
            </w:r>
          </w:p>
        </w:tc>
        <w:tc>
          <w:tcPr>
            <w:tcW w:type="dxa" w:w="2880"/>
          </w:tcPr>
          <w:p>
            <w:r>
              <w:t>Collateral value / 1.25x minimum security cover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Pricing component</w:t>
            </w:r>
          </w:p>
        </w:tc>
        <w:tc>
          <w:tcPr>
            <w:tcW w:type="dxa" w:w="2880"/>
          </w:tcPr>
          <w:p>
            <w:r>
              <w:t>bps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Benchmark (EBLR/MCLR)</w:t>
            </w:r>
          </w:p>
        </w:tc>
        <w:tc>
          <w:tcPr>
            <w:tcW w:type="dxa" w:w="2880"/>
          </w:tcPr>
          <w:p>
            <w:r>
              <w:t>+925</w:t>
            </w:r>
          </w:p>
        </w:tc>
        <w:tc>
          <w:tcPr>
            <w:tcW w:type="dxa" w:w="2880"/>
          </w:tcPr>
          <w:p>
            <w:r>
              <w:t>Bank's external benchmark lending rate (RBI repo 5.50%)</w:t>
            </w:r>
          </w:p>
        </w:tc>
      </w:tr>
      <w:tr>
        <w:tc>
          <w:tcPr>
            <w:tcW w:type="dxa" w:w="2880"/>
          </w:tcPr>
          <w:p>
            <w:r>
              <w:t>Credit risk premium (CX5)</w:t>
            </w:r>
          </w:p>
        </w:tc>
        <w:tc>
          <w:tcPr>
            <w:tcW w:type="dxa" w:w="2880"/>
          </w:tcPr>
          <w:p>
            <w:r>
              <w:t>+275</w:t>
            </w:r>
          </w:p>
        </w:tc>
        <w:tc>
          <w:tcPr>
            <w:tcW w:type="dxa" w:w="2880"/>
          </w:tcPr>
          <w:p>
            <w:r>
              <w:t>Grade-linked spread</w:t>
            </w:r>
          </w:p>
        </w:tc>
      </w:tr>
      <w:tr>
        <w:tc>
          <w:tcPr>
            <w:tcW w:type="dxa" w:w="2880"/>
          </w:tcPr>
          <w:p>
            <w:r>
              <w:t>Policy deviation premium</w:t>
            </w:r>
          </w:p>
        </w:tc>
        <w:tc>
          <w:tcPr>
            <w:tcW w:type="dxa" w:w="2880"/>
          </w:tcPr>
          <w:p>
            <w:r>
              <w:t>+50</w:t>
            </w:r>
          </w:p>
        </w:tc>
        <w:tc>
          <w:tcPr>
            <w:tcW w:type="dxa" w:w="2880"/>
          </w:tcPr>
          <w:p>
            <w:r>
              <w:t>2 policy deviation(s) approved at sanction</w:t>
            </w:r>
          </w:p>
        </w:tc>
      </w:tr>
      <w:tr>
        <w:tc>
          <w:tcPr>
            <w:tcW w:type="dxa" w:w="2880"/>
          </w:tcPr>
          <w:p>
            <w:r>
              <w:t>All-in rate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  <w:tc>
          <w:tcPr>
            <w:tcW w:type="dxa" w:w="2880"/>
          </w:tcPr>
          <w:p>
            <w:r>
              <w:t>Spread 3.25% over benchmark</w:t>
            </w:r>
          </w:p>
        </w:tc>
      </w:tr>
    </w:tbl>
    <w:p>
      <w:r>
        <w:rPr>
          <w:i/>
        </w:rPr>
        <w:t>Recommended ₹0; binding constraint: DSCR capacity.</w:t>
      </w:r>
    </w:p>
    <w:p>
      <w:pPr>
        <w:pStyle w:val="Heading1"/>
      </w:pPr>
      <w:r>
        <w:t>13. Recommendation &amp; Conditions</w:t>
      </w:r>
    </w:p>
    <w:p>
      <w:r>
        <w:t>Recommendation: Refer to credit committee — ₹0 at 12.5% p.a. for 60 months.</w:t>
      </w:r>
    </w:p>
    <w:p>
      <w:r>
        <w:rPr>
          <w:b/>
        </w:rPr>
        <w:t>Basis of recommendation</w:t>
      </w:r>
    </w:p>
    <w:p>
      <w:pPr>
        <w:pStyle w:val="ListBullet"/>
      </w:pPr>
      <w:r>
        <w:t>Score 659 in referral band (600-659)</w:t>
      </w:r>
    </w:p>
    <w:p>
      <w:r>
        <w:rPr>
          <w:b/>
        </w:rPr>
        <w:t>Terms &amp; conditions</w:t>
      </w:r>
    </w:p>
    <w:p>
      <w:pPr>
        <w:pStyle w:val="ListBullet"/>
      </w:pPr>
      <w:r>
        <w:t>Debt-service reserve account (DSRA) of two quarters' instalments</w:t>
      </w:r>
    </w:p>
    <w:p>
      <w:pPr>
        <w:pStyle w:val="ListBullet"/>
      </w:pPr>
      <w:r>
        <w:t>Leverage covenant: Debt/EBITDA to step down below 3.5x by next annual review</w:t>
      </w:r>
    </w:p>
    <w:p>
      <w:r>
        <w:rPr>
          <w:b/>
        </w:rPr>
        <w:t>Key risks</w:t>
      </w:r>
    </w:p>
    <w:p>
      <w:pPr>
        <w:pStyle w:val="ListBullet"/>
      </w:pPr>
      <w:r>
        <w:t>Revenue growth -7.7% (-11 pts)</w:t>
      </w:r>
    </w:p>
    <w:p>
      <w:pPr>
        <w:pStyle w:val="ListBullet"/>
      </w:pPr>
      <w:r>
        <w:t>Litigation intensity 32 (-8 pts)</w:t>
      </w:r>
    </w:p>
    <w:p>
      <w:pPr>
        <w:pStyle w:val="ListBullet"/>
      </w:pPr>
      <w:r>
        <w:t>Receivable days 118 days (-5 pts)</w:t>
      </w:r>
    </w:p>
    <w:p>
      <w:pPr>
        <w:pStyle w:val="ListBullet"/>
      </w:pPr>
      <w:r>
        <w:t>Sector risk 4 (-5 pts)</w:t>
      </w:r>
    </w:p>
    <w:p>
      <w:pPr>
        <w:pStyle w:val="ListBullet"/>
      </w:pPr>
      <w:r>
        <w:t>Debt / EBITDA 4.51x (-4 pts)</w:t>
      </w:r>
    </w:p>
    <w:p>
      <w:pPr>
        <w:pStyle w:val="ListBullet"/>
      </w:pPr>
      <w:r>
        <w:t>Factory operating at 45% capacity during site visit; 6 of 14 knitting machines idle due to soft US orders. (-18 pts)</w:t>
      </w:r>
    </w:p>
    <w:p>
      <w:pPr>
        <w:pStyle w:val="ListBullet"/>
      </w:pPr>
      <w:r>
        <w:t>Low capacity utilisation (-10 pts)</w:t>
      </w:r>
    </w:p>
    <w:p>
      <w:pPr>
        <w:pStyle w:val="ListBullet"/>
      </w:pPr>
      <w:r>
        <w:t>Margin compression (-6 pts)</w:t>
      </w:r>
    </w:p>
    <w:p>
      <w:r>
        <w:rPr>
          <w:b/>
        </w:rPr>
        <w:t>Mitigants / strengths</w:t>
      </w:r>
    </w:p>
    <w:p>
      <w:pPr>
        <w:pStyle w:val="ListBullet"/>
      </w:pPr>
      <w:r>
        <w:t>Fraud risk score 4 (+20 pts)</w:t>
      </w:r>
    </w:p>
    <w:p>
      <w:pPr>
        <w:pStyle w:val="ListBullet"/>
      </w:pPr>
      <w:r>
        <w:t>Interest coverage 2.53x (+8 pts)</w:t>
      </w:r>
    </w:p>
    <w:p>
      <w:pPr>
        <w:pStyle w:val="ListBullet"/>
      </w:pPr>
      <w:r>
        <w:t>Cash-flow volatility 0.10 (+8 pts)</w:t>
      </w:r>
    </w:p>
    <w:p>
      <w:pPr>
        <w:pStyle w:val="ListBullet"/>
      </w:pPr>
      <w:r>
        <w:t>Debt service coverage 1.20x (+7 pts)</w:t>
      </w:r>
    </w:p>
    <w:p>
      <w:pPr>
        <w:pStyle w:val="ListBullet"/>
      </w:pPr>
      <w:r>
        <w:t>GST mismatch 2.6% (+4 pts)</w:t>
      </w:r>
    </w:p>
    <w:p>
      <w:pPr>
        <w:pStyle w:val="Heading1"/>
      </w:pPr>
      <w:r>
        <w:t>Annexure — Documents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Extraction confidence</w:t>
            </w:r>
          </w:p>
        </w:tc>
      </w:tr>
      <w:tr>
        <w:tc>
          <w:tcPr>
            <w:tcW w:type="dxa" w:w="2880"/>
          </w:tcPr>
          <w:p>
            <w:r>
              <w:t>annual_report_FY25.pdf</w:t>
            </w:r>
          </w:p>
        </w:tc>
        <w:tc>
          <w:tcPr>
            <w:tcW w:type="dxa" w:w="2880"/>
          </w:tcPr>
          <w:p>
            <w:r>
              <w:t>Financial Statement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  <w:tr>
        <w:tc>
          <w:tcPr>
            <w:tcW w:type="dxa" w:w="2880"/>
          </w:tcPr>
          <w:p>
            <w:r>
              <w:t>gst_returns_FY25.pdf</w:t>
            </w:r>
          </w:p>
        </w:tc>
        <w:tc>
          <w:tcPr>
            <w:tcW w:type="dxa" w:w="2880"/>
          </w:tcPr>
          <w:p>
            <w:r>
              <w:t>Gst Return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bank_statement_Oct24-Mar25.pdf</w:t>
            </w:r>
          </w:p>
        </w:tc>
        <w:tc>
          <w:tcPr>
            <w:tcW w:type="dxa" w:w="2880"/>
          </w:tcPr>
          <w:p>
            <w:r>
              <w:t>Bank Statement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mca_mgt7_extract.pdf</w:t>
            </w:r>
          </w:p>
        </w:tc>
        <w:tc>
          <w:tcPr>
            <w:tcW w:type="dxa" w:w="2880"/>
          </w:tcPr>
          <w:p>
            <w:r>
              <w:t>Mca Filing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shareholding_pattern.pdf</w:t>
            </w:r>
          </w:p>
        </w:tc>
        <w:tc>
          <w:tcPr>
            <w:tcW w:type="dxa" w:w="2880"/>
          </w:tcPr>
          <w:p>
            <w:r>
              <w:t>Shareholding Pattern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legal_notice_1.pdf</w:t>
            </w:r>
          </w:p>
        </w:tc>
        <w:tc>
          <w:tcPr>
            <w:tcW w:type="dxa" w:w="2880"/>
          </w:tcPr>
          <w:p>
            <w:r>
              <w:t>Legal Notice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</w:tbl>
    <w:p>
      <w:r>
        <w:rPr>
          <w:i/>
        </w:rPr>
        <w:t>Generated by CredX on 04 Oct 2026 15:23 UTC. Machine-generated recommendation; final sanction rests with the delegated authority.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 (Credit Analyst)</w:t>
            </w:r>
          </w:p>
        </w:tc>
        <w:tc>
          <w:tcPr>
            <w:tcW w:type="dxa" w:w="2880"/>
          </w:tcPr>
          <w:p>
            <w:r>
              <w:t>Reviewed by (Credit Manager)</w:t>
            </w:r>
          </w:p>
        </w:tc>
        <w:tc>
          <w:tcPr>
            <w:tcW w:type="dxa" w:w="2880"/>
          </w:tcPr>
          <w:p>
            <w:r>
              <w:t>Sanctioning Authority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