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4F9C"/>
        </w:rPr>
        <w:t>CREDX · CREDIT APPRAISAL MEMORANDUM</w:t>
      </w:r>
    </w:p>
    <w:p>
      <w:pPr>
        <w:pStyle w:val="Title"/>
      </w:pPr>
      <w:r>
        <w:t>Nebula Components Private Limited</w:t>
      </w:r>
    </w:p>
    <w:p>
      <w:pPr>
        <w:jc w:val="left"/>
      </w:pPr>
      <w:r>
        <w:t>CX-2026-0005 · Cash Credit · Version 1 · 04 Oct 2026 · Strictly confidential</w:t>
      </w:r>
    </w:p>
    <w:p>
      <w:pPr>
        <w:pStyle w:val="Heading1"/>
      </w:pPr>
      <w:r>
        <w:t>1. Executive Summary</w:t>
      </w:r>
    </w:p>
    <w:p>
      <w:r>
        <w:rPr>
          <w:b/>
        </w:rPr>
        <w:t>Recommendation: Decline</w:t>
      </w:r>
    </w:p>
    <w:p>
      <w:r>
        <w:t>Nebula Components Private Limited, operating in Auto Components, has applied for a Cash Credit of ₹25.00 Cr. The proposal is not recommended. The internal score of 300 (CX8) implies a one-year probability of default of 99.84%. Principal concerns are Litigation intensity 95; Fraud risk score 92; Debt service coverage 0.56x. These are partly mitigated by Sector risk 3; Business vintage 15 yrs. We recommend an exposure of ₹0 priced at 16.9% p.a., with sizing bound by the leverage ceiling.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300 / 900</w:t>
            </w:r>
          </w:p>
        </w:tc>
      </w:tr>
      <w:tr>
        <w:tc>
          <w:tcPr>
            <w:tcW w:type="dxa" w:w="4320"/>
          </w:tcPr>
          <w:p>
            <w:r>
              <w:t>Internal grade</w:t>
            </w:r>
          </w:p>
        </w:tc>
        <w:tc>
          <w:tcPr>
            <w:tcW w:type="dxa" w:w="4320"/>
          </w:tcPr>
          <w:p>
            <w:r>
              <w:t>CX8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Probability of default (1y)</w:t>
            </w:r>
          </w:p>
        </w:tc>
        <w:tc>
          <w:tcPr>
            <w:tcW w:type="dxa" w:w="4320"/>
          </w:tcPr>
          <w:p>
            <w:r>
              <w:t>99.84%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Suggested rate</w:t>
            </w:r>
          </w:p>
        </w:tc>
        <w:tc>
          <w:tcPr>
            <w:tcW w:type="dxa" w:w="4320"/>
          </w:tcPr>
          <w:p>
            <w:r>
              <w:t>16.9% p.a.</w:t>
            </w:r>
          </w:p>
        </w:tc>
      </w:tr>
      <w:tr>
        <w:tc>
          <w:tcPr>
            <w:tcW w:type="dxa" w:w="4320"/>
          </w:tcPr>
          <w:p>
            <w:r>
              <w:t>Fraud risk score</w:t>
            </w:r>
          </w:p>
        </w:tc>
        <w:tc>
          <w:tcPr>
            <w:tcW w:type="dxa" w:w="4320"/>
          </w:tcPr>
          <w:p>
            <w:r>
              <w:t>92 / 100</w:t>
            </w:r>
          </w:p>
        </w:tc>
      </w:tr>
      <w:tr>
        <w:tc>
          <w:tcPr>
            <w:tcW w:type="dxa" w:w="4320"/>
          </w:tcPr>
          <w:p>
            <w:r>
              <w:t>Approval likelihood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pPr>
        <w:pStyle w:val="Heading1"/>
      </w:pPr>
      <w:r>
        <w:t>2. Borrower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Legal name</w:t>
            </w:r>
          </w:p>
        </w:tc>
        <w:tc>
          <w:tcPr>
            <w:tcW w:type="dxa" w:w="4320"/>
          </w:tcPr>
          <w:p>
            <w:r>
              <w:t>Nebula Components Private Limited</w:t>
            </w:r>
          </w:p>
        </w:tc>
      </w:tr>
      <w:tr>
        <w:tc>
          <w:tcPr>
            <w:tcW w:type="dxa" w:w="4320"/>
          </w:tcPr>
          <w:p>
            <w:r>
              <w:t>Constitution</w:t>
            </w:r>
          </w:p>
        </w:tc>
        <w:tc>
          <w:tcPr>
            <w:tcW w:type="dxa" w:w="4320"/>
          </w:tcPr>
          <w:p>
            <w:r>
              <w:t>Private Limited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U34300MH2011PTC219876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AAGCN2290H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27AAGCN2290H1ZD</w:t>
            </w:r>
          </w:p>
        </w:tc>
      </w:tr>
      <w:tr>
        <w:tc>
          <w:tcPr>
            <w:tcW w:type="dxa" w:w="4320"/>
          </w:tcPr>
          <w:p>
            <w:r>
              <w:t>Incorporated</w:t>
            </w:r>
          </w:p>
        </w:tc>
        <w:tc>
          <w:tcPr>
            <w:tcW w:type="dxa" w:w="4320"/>
          </w:tcPr>
          <w:p>
            <w:r>
              <w:t>2011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Auto Components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Pune, Maharashtra</w:t>
            </w:r>
          </w:p>
        </w:tc>
      </w:tr>
      <w:tr>
        <w:tc>
          <w:tcPr>
            <w:tcW w:type="dxa" w:w="4320"/>
          </w:tcPr>
          <w:p>
            <w:r>
              <w:t>Promoters / directors</w:t>
            </w:r>
          </w:p>
        </w:tc>
        <w:tc>
          <w:tcPr>
            <w:tcW w:type="dxa" w:w="4320"/>
          </w:tcPr>
          <w:p>
            <w:r>
              <w:t>Rakesh Malhotra (DIN 03344556), Sunil Joshi (DIN 03344557)</w:t>
            </w:r>
          </w:p>
        </w:tc>
      </w:tr>
      <w:tr>
        <w:tc>
          <w:tcPr>
            <w:tcW w:type="dxa" w:w="4320"/>
          </w:tcPr>
          <w:p>
            <w:r>
              <w:t>External rating</w:t>
            </w:r>
          </w:p>
        </w:tc>
        <w:tc>
          <w:tcPr>
            <w:tcW w:type="dxa" w:w="4320"/>
          </w:tcPr>
          <w:p>
            <w:r>
              <w:t>BB/Negative (demo agency)</w:t>
            </w:r>
          </w:p>
        </w:tc>
      </w:tr>
    </w:tbl>
    <w:p>
      <w:pPr>
        <w:pStyle w:val="Heading1"/>
      </w:pPr>
      <w:r>
        <w:t>3. Proposed Facility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Case reference</w:t>
            </w:r>
          </w:p>
        </w:tc>
        <w:tc>
          <w:tcPr>
            <w:tcW w:type="dxa" w:w="4320"/>
          </w:tcPr>
          <w:p>
            <w:r>
              <w:t>CX-2026-0005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Cash Credit</w:t>
            </w:r>
          </w:p>
        </w:tc>
      </w:tr>
      <w:tr>
        <w:tc>
          <w:tcPr>
            <w:tcW w:type="dxa" w:w="4320"/>
          </w:tcPr>
          <w:p>
            <w:r>
              <w:t>Amount requested</w:t>
            </w:r>
          </w:p>
        </w:tc>
        <w:tc>
          <w:tcPr>
            <w:tcW w:type="dxa" w:w="4320"/>
          </w:tcPr>
          <w:p>
            <w:r>
              <w:t>₹25,00,00,000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Enhancement of working-capital limits</w:t>
            </w:r>
          </w:p>
        </w:tc>
      </w:tr>
      <w:tr>
        <w:tc>
          <w:tcPr>
            <w:tcW w:type="dxa" w:w="4320"/>
          </w:tcPr>
          <w:p>
            <w:r>
              <w:t>Security offered</w:t>
            </w:r>
          </w:p>
        </w:tc>
        <w:tc>
          <w:tcPr>
            <w:tcW w:type="dxa" w:w="4320"/>
          </w:tcPr>
          <w:p>
            <w:r>
              <w:t>Second charge on factory land &amp; building, Chakan</w:t>
            </w:r>
          </w:p>
        </w:tc>
      </w:tr>
      <w:tr>
        <w:tc>
          <w:tcPr>
            <w:tcW w:type="dxa" w:w="4320"/>
          </w:tcPr>
          <w:p>
            <w:r>
              <w:t>Security value</w:t>
            </w:r>
          </w:p>
        </w:tc>
        <w:tc>
          <w:tcPr>
            <w:tcW w:type="dxa" w:w="4320"/>
          </w:tcPr>
          <w:p>
            <w:r>
              <w:t>₹18.00 Cr</w:t>
            </w:r>
          </w:p>
        </w:tc>
      </w:tr>
    </w:tbl>
    <w:p>
      <w:pPr>
        <w:pStyle w:val="Heading1"/>
      </w:pPr>
      <w:r>
        <w:t>4. 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  <w:tc>
          <w:tcPr>
            <w:tcW w:type="dxa" w:w="2160"/>
          </w:tcPr>
          <w:p>
            <w:r>
              <w:t>FY25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₹171.00 Cr</w:t>
            </w:r>
          </w:p>
        </w:tc>
        <w:tc>
          <w:tcPr>
            <w:tcW w:type="dxa" w:w="2160"/>
          </w:tcPr>
          <w:p>
            <w:r>
              <w:t>₹192.00 Cr</w:t>
            </w:r>
          </w:p>
        </w:tc>
        <w:tc>
          <w:tcPr>
            <w:tcW w:type="dxa" w:w="2160"/>
          </w:tcPr>
          <w:p>
            <w:r>
              <w:t>₹186.00 Cr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₹18.80 Cr</w:t>
            </w:r>
          </w:p>
        </w:tc>
        <w:tc>
          <w:tcPr>
            <w:tcW w:type="dxa" w:w="2160"/>
          </w:tcPr>
          <w:p>
            <w:r>
              <w:t>₹19.20 Cr</w:t>
            </w:r>
          </w:p>
        </w:tc>
        <w:tc>
          <w:tcPr>
            <w:tcW w:type="dxa" w:w="2160"/>
          </w:tcPr>
          <w:p>
            <w:r>
              <w:t>₹12.10 Cr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PAT</w:t>
            </w:r>
          </w:p>
        </w:tc>
        <w:tc>
          <w:tcPr>
            <w:tcW w:type="dxa" w:w="2160"/>
          </w:tcPr>
          <w:p>
            <w:r>
              <w:t>₹4.60 Cr</w:t>
            </w:r>
          </w:p>
        </w:tc>
        <w:tc>
          <w:tcPr>
            <w:tcW w:type="dxa" w:w="2160"/>
          </w:tcPr>
          <w:p>
            <w:r>
              <w:t>₹3.80 Cr</w:t>
            </w:r>
          </w:p>
        </w:tc>
        <w:tc>
          <w:tcPr>
            <w:tcW w:type="dxa" w:w="2160"/>
          </w:tcPr>
          <w:p>
            <w:r>
              <w:t>-₹3.40 Cr</w:t>
            </w:r>
          </w:p>
        </w:tc>
      </w:tr>
      <w:tr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-3.1%</w:t>
            </w:r>
          </w:p>
        </w:tc>
      </w:tr>
      <w:tr>
        <w:tc>
          <w:tcPr>
            <w:tcW w:type="dxa" w:w="2160"/>
          </w:tcPr>
          <w:p>
            <w:r>
              <w:t>Total debt</w:t>
            </w:r>
          </w:p>
        </w:tc>
        <w:tc>
          <w:tcPr>
            <w:tcW w:type="dxa" w:w="2160"/>
          </w:tcPr>
          <w:p>
            <w:r>
              <w:t>₹88.00 Cr</w:t>
            </w:r>
          </w:p>
        </w:tc>
        <w:tc>
          <w:tcPr>
            <w:tcW w:type="dxa" w:w="2160"/>
          </w:tcPr>
          <w:p>
            <w:r>
              <w:t>₹101.00 Cr</w:t>
            </w:r>
          </w:p>
        </w:tc>
        <w:tc>
          <w:tcPr>
            <w:tcW w:type="dxa" w:w="2160"/>
          </w:tcPr>
          <w:p>
            <w:r>
              <w:t>₹112.00 Cr</w:t>
            </w:r>
          </w:p>
        </w:tc>
      </w:tr>
      <w:tr>
        <w:tc>
          <w:tcPr>
            <w:tcW w:type="dxa" w:w="2160"/>
          </w:tcPr>
          <w:p>
            <w:r>
              <w:t>Net worth</w:t>
            </w:r>
          </w:p>
        </w:tc>
        <w:tc>
          <w:tcPr>
            <w:tcW w:type="dxa" w:w="2160"/>
          </w:tcPr>
          <w:p>
            <w:r>
              <w:t>₹37.60 Cr</w:t>
            </w:r>
          </w:p>
        </w:tc>
        <w:tc>
          <w:tcPr>
            <w:tcW w:type="dxa" w:w="2160"/>
          </w:tcPr>
          <w:p>
            <w:r>
              <w:t>₹41.40 Cr</w:t>
            </w:r>
          </w:p>
        </w:tc>
        <w:tc>
          <w:tcPr>
            <w:tcW w:type="dxa" w:w="2160"/>
          </w:tcPr>
          <w:p>
            <w:r>
              <w:t>₹38.00 Cr</w:t>
            </w:r>
          </w:p>
        </w:tc>
      </w:tr>
      <w:tr>
        <w:tc>
          <w:tcPr>
            <w:tcW w:type="dxa" w:w="2160"/>
          </w:tcPr>
          <w:p>
            <w:r>
              <w:t>Debt / EBITDA</w:t>
            </w:r>
          </w:p>
        </w:tc>
        <w:tc>
          <w:tcPr>
            <w:tcW w:type="dxa" w:w="2160"/>
          </w:tcPr>
          <w:p>
            <w:r>
              <w:t>4.68x</w:t>
            </w:r>
          </w:p>
        </w:tc>
        <w:tc>
          <w:tcPr>
            <w:tcW w:type="dxa" w:w="2160"/>
          </w:tcPr>
          <w:p>
            <w:r>
              <w:t>5.26x</w:t>
            </w:r>
          </w:p>
        </w:tc>
        <w:tc>
          <w:tcPr>
            <w:tcW w:type="dxa" w:w="2160"/>
          </w:tcPr>
          <w:p>
            <w:r>
              <w:t>9.26x</w:t>
            </w:r>
          </w:p>
        </w:tc>
      </w:tr>
      <w:tr>
        <w:tc>
          <w:tcPr>
            <w:tcW w:type="dxa" w:w="2160"/>
          </w:tcPr>
          <w:p>
            <w:r>
              <w:t>Debt / Equity</w:t>
            </w:r>
          </w:p>
        </w:tc>
        <w:tc>
          <w:tcPr>
            <w:tcW w:type="dxa" w:w="2160"/>
          </w:tcPr>
          <w:p>
            <w:r>
              <w:t>2.34x</w:t>
            </w:r>
          </w:p>
        </w:tc>
        <w:tc>
          <w:tcPr>
            <w:tcW w:type="dxa" w:w="2160"/>
          </w:tcPr>
          <w:p>
            <w:r>
              <w:t>2.44x</w:t>
            </w:r>
          </w:p>
        </w:tc>
        <w:tc>
          <w:tcPr>
            <w:tcW w:type="dxa" w:w="2160"/>
          </w:tcPr>
          <w:p>
            <w:r>
              <w:t>2.95x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2.69x</w:t>
            </w:r>
          </w:p>
        </w:tc>
        <w:tc>
          <w:tcPr>
            <w:tcW w:type="dxa" w:w="2160"/>
          </w:tcPr>
          <w:p>
            <w:r>
              <w:t>1.06x</w:t>
            </w:r>
          </w:p>
        </w:tc>
        <w:tc>
          <w:tcPr>
            <w:tcW w:type="dxa" w:w="2160"/>
          </w:tcPr>
          <w:p>
            <w:r>
              <w:t>0.56x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2.69x</w:t>
            </w:r>
          </w:p>
        </w:tc>
        <w:tc>
          <w:tcPr>
            <w:tcW w:type="dxa" w:w="2160"/>
          </w:tcPr>
          <w:p>
            <w:r>
              <w:t>2.37x</w:t>
            </w:r>
          </w:p>
        </w:tc>
        <w:tc>
          <w:tcPr>
            <w:tcW w:type="dxa" w:w="2160"/>
          </w:tcPr>
          <w:p>
            <w:r>
              <w:t>1.23x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1.06x</w:t>
            </w:r>
          </w:p>
        </w:tc>
        <w:tc>
          <w:tcPr>
            <w:tcW w:type="dxa" w:w="2160"/>
          </w:tcPr>
          <w:p>
            <w:r>
              <w:t>1.01x</w:t>
            </w:r>
          </w:p>
        </w:tc>
        <w:tc>
          <w:tcPr>
            <w:tcW w:type="dxa" w:w="2160"/>
          </w:tcPr>
          <w:p>
            <w:r>
              <w:t>0.90x</w:t>
            </w:r>
          </w:p>
        </w:tc>
      </w:tr>
      <w:tr>
        <w:tc>
          <w:tcPr>
            <w:tcW w:type="dxa" w:w="2160"/>
          </w:tcPr>
          <w:p>
            <w:r>
              <w:t>Receivable days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</w:tbl>
    <w:p>
      <w:r>
        <w:rPr>
          <w:i/>
        </w:rPr>
        <w:t>Figures extracted from uploaded statements; each value carries document/page provenance in CredX.</w:t>
      </w:r>
    </w:p>
    <w:p>
      <w:pPr>
        <w:pStyle w:val="Heading1"/>
      </w:pPr>
      <w:r>
        <w:t>5. Banking Conduct &amp; GST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GSTR-2A/2B vs GSTR-3B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3B ₹186.00 Cr vs 2A/2B ₹171.00 Cr — variance 8.1% (tolerance 5%).</w:t>
            </w:r>
          </w:p>
        </w:tc>
      </w:tr>
      <w:tr>
        <w:tc>
          <w:tcPr>
            <w:tcW w:type="dxa" w:w="2880"/>
          </w:tcPr>
          <w:p>
            <w:r>
              <w:t>GSTR-1 vs GSTR-3B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Outward supplies declared ₹184.00 Cr vs tax paid on ₹186.00 Cr (1.1%).</w:t>
            </w:r>
          </w:p>
        </w:tc>
      </w:tr>
      <w:tr>
        <w:tc>
          <w:tcPr>
            <w:tcW w:type="dxa" w:w="2880"/>
          </w:tcPr>
          <w:p>
            <w:r>
              <w:t>Bank credits vs GST turnover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Annualised bank credits ₹142.09 Cr are 65% of GST turnover incl. tax — sales may be inflated or routed through other accounts.</w:t>
            </w:r>
          </w:p>
        </w:tc>
      </w:tr>
      <w:tr>
        <w:tc>
          <w:tcPr>
            <w:tcW w:type="dxa" w:w="2880"/>
          </w:tcPr>
          <w:p>
            <w:r>
              <w:t>Book revenue vs GST turnover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Financial-statement revenue ₹186.00 Cr vs GST turnover ₹186.00 Cr (0.0%).</w:t>
            </w:r>
          </w:p>
        </w:tc>
      </w:tr>
      <w:tr>
        <w:tc>
          <w:tcPr>
            <w:tcW w:type="dxa" w:w="2880"/>
          </w:tcPr>
          <w:p>
            <w:r>
              <w:t>Return filing timeliness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Returns filed up to 69 days late.</w:t>
            </w:r>
          </w:p>
        </w:tc>
      </w:tr>
      <w:tr>
        <w:tc>
          <w:tcPr>
            <w:tcW w:type="dxa" w:w="2880"/>
          </w:tcPr>
          <w:p>
            <w:r>
              <w:t>GSTIN validity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 GSTIN(s) pass checksum and state-code validation.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Credits</w:t>
            </w:r>
          </w:p>
        </w:tc>
        <w:tc>
          <w:tcPr>
            <w:tcW w:type="dxa" w:w="1440"/>
          </w:tcPr>
          <w:p>
            <w:r>
              <w:t>Closing bal.</w:t>
            </w:r>
          </w:p>
        </w:tc>
        <w:tc>
          <w:tcPr>
            <w:tcW w:type="dxa" w:w="1440"/>
          </w:tcPr>
          <w:p>
            <w:r>
              <w:t>Bounces</w:t>
            </w:r>
          </w:p>
        </w:tc>
        <w:tc>
          <w:tcPr>
            <w:tcW w:type="dxa" w:w="1440"/>
          </w:tcPr>
          <w:p>
            <w:r>
              <w:t>Overdrawn days</w:t>
            </w:r>
          </w:p>
        </w:tc>
      </w:tr>
      <w:tr>
        <w:tc>
          <w:tcPr>
            <w:tcW w:type="dxa" w:w="1440"/>
          </w:tcPr>
          <w:p>
            <w:r>
              <w:t>bank_statement_Oct24-Mar25.pdf</w:t>
            </w:r>
          </w:p>
        </w:tc>
        <w:tc>
          <w:tcPr>
            <w:tcW w:type="dxa" w:w="1440"/>
          </w:tcPr>
          <w:p>
            <w:r>
              <w:t>XXXX4419</w:t>
            </w:r>
          </w:p>
        </w:tc>
        <w:tc>
          <w:tcPr>
            <w:tcW w:type="dxa" w:w="1440"/>
          </w:tcPr>
          <w:p>
            <w:r>
              <w:t>₹71.05 Cr</w:t>
            </w:r>
          </w:p>
        </w:tc>
        <w:tc>
          <w:tcPr>
            <w:tcW w:type="dxa" w:w="1440"/>
          </w:tcPr>
          <w:p>
            <w:r>
              <w:t>₹2.31 Cr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23</w:t>
            </w:r>
          </w:p>
        </w:tc>
      </w:tr>
    </w:tbl>
    <w:p>
      <w:pPr>
        <w:pStyle w:val="Heading1"/>
      </w:pPr>
      <w:r>
        <w:t>6. Promoter, Litigation &amp; Market Intelligence</w:t>
      </w:r>
    </w:p>
    <w:p>
      <w:r>
        <w:t>8 external items were reviewed for Nebula Components Private Limited; overall promoter/company sentiment is negative. Adverse coverage: Operational creditor issues IBC demand notice to Nebula Components over ₹4.7 crore dues [1]; IBC / NCLT insolvency — threatened (claim ₹4.70 Cr) [7]; Cheque dishonour (NI Act s.138) — pending (claim ₹0.38 Cr) [8]. Litigation exposure is high (score 95/100 across 6 matter(s)). Sector view (Auto Components): outlook stable; key headwind — ev transition risk for ice-specific parts.</w:t>
      </w:r>
    </w:p>
    <w:p>
      <w:pPr>
        <w:pStyle w:val="ListBullet"/>
      </w:pPr>
      <w:r>
        <w:t>Litigation risk: HIGH</w:t>
      </w:r>
    </w:p>
    <w:p>
      <w:pPr>
        <w:pStyle w:val="ListBullet"/>
      </w:pPr>
      <w:r>
        <w:t>Promoter sentiment: NEGATIVE</w:t>
      </w:r>
    </w:p>
    <w:p>
      <w:pPr>
        <w:pStyle w:val="ListBullet"/>
      </w:pPr>
      <w:r>
        <w:t>Sector outlook: STABLE</w:t>
      </w:r>
    </w:p>
    <w:p>
      <w:pPr>
        <w:pStyle w:val="ListBullet"/>
      </w:pPr>
      <w:r>
        <w:t>Overall external risk: HIGH</w:t>
      </w:r>
    </w:p>
    <w:p>
      <w:pPr>
        <w:pStyle w:val="ListBullet"/>
      </w:pPr>
      <w:r>
        <w:t>[CRITICAL] Operational creditor issues IBC demand notice to Nebula Components over ₹4.7 crore dues — Pune Business Ledger (demo) (demo data)</w:t>
      </w:r>
    </w:p>
    <w:p>
      <w:pPr>
        <w:pStyle w:val="ListBullet"/>
      </w:pPr>
      <w:r>
        <w:t>[HIGH] Nebula Components loses supply contract with two-wheeler OEM amid quality concerns — AutoParts Weekly (demo) (demo data)</w:t>
      </w:r>
    </w:p>
    <w:p>
      <w:pPr>
        <w:pStyle w:val="ListBullet"/>
      </w:pPr>
      <w:r>
        <w:t>[HIGH] Rating agency revises Nebula Components outlook to Negative on stretched liquidity — Rating Desk India (demo) (demo data)</w:t>
      </w:r>
    </w:p>
    <w:p>
      <w:pPr>
        <w:pStyle w:val="ListBullet"/>
      </w:pPr>
      <w:r>
        <w:t>[HIGH] GST intelligence wing probes auto-parts distributors in Pune for circular invoicing — GST Watch (demo) (demo data)</w:t>
      </w:r>
    </w:p>
    <w:p>
      <w:pPr>
        <w:pStyle w:val="ListBullet"/>
      </w:pPr>
      <w:r>
        <w:t>[HIGH] Cheque dishonour complaint filed against Nebula Components under Section 138 — Maharashtra Courts Digest (demo) (demo data)</w:t>
      </w:r>
    </w:p>
    <w:p>
      <w:pPr>
        <w:pStyle w:val="ListBullet"/>
      </w:pPr>
      <w:r>
        <w:t>[MEDIUM] Nebula promoter Rakesh Malhotra steps down from board of Zenith Distributors — Pune Business Ledger (demo) (demo data)</w:t>
      </w:r>
    </w:p>
    <w:p>
      <w:pPr>
        <w:pStyle w:val="ListBullet"/>
      </w:pPr>
      <w:r>
        <w:t>[CRITICAL] IBC / NCLT insolvency — threatened (claim ₹4.70 Cr) — Uploaded document: legal_notice_1.pdf</w:t>
      </w:r>
    </w:p>
    <w:p>
      <w:pPr>
        <w:pStyle w:val="ListBullet"/>
      </w:pPr>
      <w:r>
        <w:t>[HIGH] Cheque dishonour (NI Act s.138) — pending (claim ₹0.38 Cr) — Uploaded document: legal_notice_2.pdf</w:t>
      </w:r>
    </w:p>
    <w:p>
      <w:pPr>
        <w:pStyle w:val="Heading1"/>
      </w:pPr>
      <w:r>
        <w:t>7. Sector &amp; Regulatory Conditions</w:t>
      </w:r>
    </w:p>
    <w:p>
      <w:r>
        <w:t>Auto Components — outlook STABLE, sector risk band 3/5 (knowledge base 2026.10).</w:t>
      </w:r>
    </w:p>
    <w:p>
      <w:r>
        <w:rPr>
          <w:b/>
        </w:rPr>
        <w:t>Headwinds</w:t>
      </w:r>
    </w:p>
    <w:p>
      <w:pPr>
        <w:pStyle w:val="ListBullet"/>
      </w:pPr>
      <w:r>
        <w:t>EV transition risk for ICE-specific parts</w:t>
      </w:r>
    </w:p>
    <w:p>
      <w:pPr>
        <w:pStyle w:val="ListBullet"/>
      </w:pPr>
      <w:r>
        <w:t>OEM pricing pressure and customer concentration</w:t>
      </w:r>
    </w:p>
    <w:p>
      <w:pPr>
        <w:pStyle w:val="ListBullet"/>
      </w:pPr>
      <w:r>
        <w:t>Steel and aluminium price pass-through lags</w:t>
      </w:r>
    </w:p>
    <w:p>
      <w:r>
        <w:rPr>
          <w:b/>
        </w:rPr>
        <w:t>Tailwinds</w:t>
      </w:r>
    </w:p>
    <w:p>
      <w:pPr>
        <w:pStyle w:val="ListBullet"/>
      </w:pPr>
      <w:r>
        <w:t>PLI for automobile &amp; auto components</w:t>
      </w:r>
    </w:p>
    <w:p>
      <w:pPr>
        <w:pStyle w:val="ListBullet"/>
      </w:pPr>
      <w:r>
        <w:t>China+1 export sourcing</w:t>
      </w:r>
    </w:p>
    <w:p>
      <w:pPr>
        <w:pStyle w:val="ListBullet"/>
      </w:pPr>
      <w:r>
        <w:t>Premiumisation in two-wheelers and SUVs</w:t>
      </w:r>
    </w:p>
    <w:p>
      <w:r>
        <w:rPr>
          <w:b/>
        </w:rPr>
        <w:t>RBI / regulatory context</w:t>
      </w:r>
    </w:p>
    <w:p>
      <w:pPr>
        <w:pStyle w:val="ListBullet"/>
      </w:pPr>
      <w:r>
        <w:t>Supply-chain finance via TReDS reduces receivable stress for MSME suppliers</w:t>
      </w:r>
    </w:p>
    <w:p>
      <w:pPr>
        <w:pStyle w:val="ListBullet"/>
      </w:pPr>
      <w:r>
        <w:t>Concentration on a single OEM should be captured as a key-customer risk</w:t>
      </w:r>
    </w:p>
    <w:p>
      <w:pPr>
        <w:pStyle w:val="Heading1"/>
      </w:pPr>
      <w:r>
        <w:t>8. Fraud &amp; Forensic Observations</w:t>
      </w:r>
    </w:p>
    <w:p>
      <w:r>
        <w:t>Fraud risk score 92/100 (CRITICAL). Graph of 7 companies and 23 relationships analysed. 2 circular flow(s) detected. Shared directors link the borrower to trading counterparties. 1 GST check(s) failed.</w:t>
      </w:r>
    </w:p>
    <w:p>
      <w:pPr>
        <w:pStyle w:val="ListBullet"/>
      </w:pPr>
      <w:r>
        <w:t>[CRITICAL] Circular goods/invoices &amp; funds through 3 entities: Goods/invoices and funds loop Nebula Components Private Limited → Zenith Distributors → Apex Auto Traders → Nebula Components Private Limited; at least ₹35.00 Cr round-trips (18.8% of revenue).</w:t>
      </w:r>
    </w:p>
    <w:p>
      <w:pPr>
        <w:pStyle w:val="ListBullet"/>
      </w:pPr>
      <w:r>
        <w:t>[CRITICAL] Circular funds through 3 entities: Funds loop Nebula Components Private Limited → Orbit Steel Supplies → Zenith Distributors → Nebula Components Private Limited; at least ₹11.60 Cr round-trips (6.2% of revenue).</w:t>
      </w:r>
    </w:p>
    <w:p>
      <w:pPr>
        <w:pStyle w:val="ListBullet"/>
      </w:pPr>
      <w:r>
        <w:t>[HIGH] Common director: Rakesh Malhotra: Rakesh Malhotra is a director of the borrower and of Zenith Distributors, which trade with it (direct volume ₹98.19 Cr). Treat as related-party until disclosed and arm's length is evidenced.</w:t>
      </w:r>
    </w:p>
    <w:p>
      <w:pPr>
        <w:pStyle w:val="ListBullet"/>
      </w:pPr>
      <w:r>
        <w:t>[HIGH] 2 counterparties share the same PAN: Zenith Distributors, Apex Auto Traders share PAN 'AAJCZ4410B'. Distinct trading partners rarely do.</w:t>
      </w:r>
    </w:p>
    <w:p>
      <w:pPr>
        <w:pStyle w:val="ListBullet"/>
      </w:pPr>
      <w:r>
        <w:t>[HIGH] 2 counterparties share the same address: Zenith Distributors, Apex Auto Traders share address 'office 9, kalpataru plaza, pune 411001'. Distinct trading partners rarely do.</w:t>
      </w:r>
    </w:p>
    <w:p>
      <w:pPr>
        <w:pStyle w:val="ListBullet"/>
      </w:pPr>
      <w:r>
        <w:t>[CRITICAL] Circular trading / round-tripping suspicion: The review team flagged possible revenue inflation and circular trading patterns in two distributor accounts.</w:t>
      </w:r>
    </w:p>
    <w:p>
      <w:pPr>
        <w:pStyle w:val="ListBullet"/>
      </w:pPr>
      <w:r>
        <w:t>[CRITICAL] Possible revenue inflation: The review team flagged possible revenue inflation and circular trading patterns in two distributor accounts.</w:t>
      </w:r>
    </w:p>
    <w:p>
      <w:pPr>
        <w:pStyle w:val="ListBullet"/>
      </w:pPr>
      <w:r>
        <w:t>[HIGH] Shell-company indicators: Orbit Steel Supplies: Gst registration cancelled; incorporated 2024; 2 employee(s).</w:t>
      </w:r>
    </w:p>
    <w:p>
      <w:pPr>
        <w:pStyle w:val="Heading1"/>
      </w:pPr>
      <w:r>
        <w:t>9. Five Cs of Credit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2160"/>
          </w:tcPr>
          <w:p>
            <w:r>
              <w:t>Key evidence</w:t>
            </w:r>
          </w:p>
        </w:tc>
      </w:tr>
      <w:tr>
        <w:tc>
          <w:tcPr>
            <w:tcW w:type="dxa" w:w="2160"/>
          </w:tcPr>
          <w:p>
            <w:r>
              <w:t>Character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Litigation intensity: 95 (-61 pts); Fraud risk score: 92 (-61 pts); Cheque/ECS bounces: 3 (-30 pts)</w:t>
            </w:r>
          </w:p>
        </w:tc>
      </w:tr>
      <w:tr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Debt service coverage: 0.56x (-46 pts); Interest coverage: 1.23x (-23 pts); Current ratio: 0.90x (-12 pts)</w:t>
            </w:r>
          </w:p>
        </w:tc>
      </w:tr>
      <w:tr>
        <w:tc>
          <w:tcPr>
            <w:tcW w:type="dxa" w:w="2160"/>
          </w:tcPr>
          <w:p>
            <w:r>
              <w:t>Capital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Debt / EBITDA: 9.26x (-14 pts); Promoter pledge: 62.0% (-14 pts); Debt / equity: 2.95x (-5 pts)</w:t>
            </w:r>
          </w:p>
        </w:tc>
      </w:tr>
      <w:tr>
        <w:tc>
          <w:tcPr>
            <w:tcW w:type="dxa" w:w="2160"/>
          </w:tcPr>
          <w:p>
            <w:r>
              <w:t>Collateral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Offered security: Second charge on factory land &amp; building, Chakan; Collateral coverage: 0.72x (-14 pts)</w:t>
            </w:r>
          </w:p>
        </w:tc>
      </w:tr>
      <w:tr>
        <w:tc>
          <w:tcPr>
            <w:tcW w:type="dxa" w:w="2160"/>
          </w:tcPr>
          <w:p>
            <w:r>
              <w:t>Conditions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Revenue growth: -3.1% (-9 pts); Sector risk: 3 (+3 pts); Credit rating downgrade / negative outlook (-10 pts, red flag)</w:t>
            </w:r>
          </w:p>
        </w:tc>
      </w:tr>
    </w:tbl>
    <w:p>
      <w:pPr>
        <w:pStyle w:val="Heading1"/>
      </w:pPr>
      <w:r>
        <w:t>10. Risk Rating &amp; Explainability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Score impact</w:t>
            </w:r>
          </w:p>
        </w:tc>
        <w:tc>
          <w:tcPr>
            <w:tcW w:type="dxa" w:w="2160"/>
          </w:tcPr>
          <w:p>
            <w:r>
              <w:t>Five C</w:t>
            </w:r>
          </w:p>
        </w:tc>
      </w:tr>
      <w:tr>
        <w:tc>
          <w:tcPr>
            <w:tcW w:type="dxa" w:w="2160"/>
          </w:tcPr>
          <w:p>
            <w:r>
              <w:t>Litigation intensity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-61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Fraud risk score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-61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Debt service coverage</w:t>
            </w:r>
          </w:p>
        </w:tc>
        <w:tc>
          <w:tcPr>
            <w:tcW w:type="dxa" w:w="2160"/>
          </w:tcPr>
          <w:p>
            <w:r>
              <w:t>0.56x</w:t>
            </w:r>
          </w:p>
        </w:tc>
        <w:tc>
          <w:tcPr>
            <w:tcW w:type="dxa" w:w="2160"/>
          </w:tcPr>
          <w:p>
            <w:r>
              <w:t>-46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Cheque/ECS bounces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-30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1.23x</w:t>
            </w:r>
          </w:p>
        </w:tc>
        <w:tc>
          <w:tcPr>
            <w:tcW w:type="dxa" w:w="2160"/>
          </w:tcPr>
          <w:p>
            <w:r>
              <w:t>-23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Promoter sentiment</w:t>
            </w:r>
          </w:p>
        </w:tc>
        <w:tc>
          <w:tcPr>
            <w:tcW w:type="dxa" w:w="2160"/>
          </w:tcPr>
          <w:p>
            <w:r>
              <w:t>-0.67</w:t>
            </w:r>
          </w:p>
        </w:tc>
        <w:tc>
          <w:tcPr>
            <w:tcW w:type="dxa" w:w="2160"/>
          </w:tcPr>
          <w:p>
            <w:r>
              <w:t>-21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Debt / EBITDA</w:t>
            </w:r>
          </w:p>
        </w:tc>
        <w:tc>
          <w:tcPr>
            <w:tcW w:type="dxa" w:w="2160"/>
          </w:tcPr>
          <w:p>
            <w:r>
              <w:t>9.26x</w:t>
            </w:r>
          </w:p>
        </w:tc>
        <w:tc>
          <w:tcPr>
            <w:tcW w:type="dxa" w:w="2160"/>
          </w:tcPr>
          <w:p>
            <w:r>
              <w:t>-14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  <w:tr>
        <w:tc>
          <w:tcPr>
            <w:tcW w:type="dxa" w:w="2160"/>
          </w:tcPr>
          <w:p>
            <w:r>
              <w:t>Promoter pledge</w:t>
            </w:r>
          </w:p>
        </w:tc>
        <w:tc>
          <w:tcPr>
            <w:tcW w:type="dxa" w:w="2160"/>
          </w:tcPr>
          <w:p>
            <w:r>
              <w:t>62.0%</w:t>
            </w:r>
          </w:p>
        </w:tc>
        <w:tc>
          <w:tcPr>
            <w:tcW w:type="dxa" w:w="2160"/>
          </w:tcPr>
          <w:p>
            <w:r>
              <w:t>-14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  <w:tr>
        <w:tc>
          <w:tcPr>
            <w:tcW w:type="dxa" w:w="2160"/>
          </w:tcPr>
          <w:p>
            <w:r>
              <w:t>Collateral coverage</w:t>
            </w:r>
          </w:p>
        </w:tc>
        <w:tc>
          <w:tcPr>
            <w:tcW w:type="dxa" w:w="2160"/>
          </w:tcPr>
          <w:p>
            <w:r>
              <w:t>0.72x</w:t>
            </w:r>
          </w:p>
        </w:tc>
        <w:tc>
          <w:tcPr>
            <w:tcW w:type="dxa" w:w="2160"/>
          </w:tcPr>
          <w:p>
            <w:r>
              <w:t>-14</w:t>
            </w:r>
          </w:p>
        </w:tc>
        <w:tc>
          <w:tcPr>
            <w:tcW w:type="dxa" w:w="2160"/>
          </w:tcPr>
          <w:p>
            <w:r>
              <w:t>Collateral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0.90x</w:t>
            </w:r>
          </w:p>
        </w:tc>
        <w:tc>
          <w:tcPr>
            <w:tcW w:type="dxa" w:w="2160"/>
          </w:tcPr>
          <w:p>
            <w:r>
              <w:t>-12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GST mismatch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  <w:tc>
          <w:tcPr>
            <w:tcW w:type="dxa" w:w="2160"/>
          </w:tcPr>
          <w:p>
            <w:r>
              <w:t>-12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Cash-flow volatility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 xml:space="preserve">Overlay: Factory operating at 40% capacity during site visit; two of </w:t>
            </w:r>
          </w:p>
        </w:tc>
        <w:tc>
          <w:tcPr>
            <w:tcW w:type="dxa" w:w="2160"/>
          </w:tcPr>
          <w:p>
            <w:r>
              <w:t>analyst note</w:t>
            </w:r>
          </w:p>
        </w:tc>
        <w:tc>
          <w:tcPr>
            <w:tcW w:type="dxa" w:w="2160"/>
          </w:tcPr>
          <w:p>
            <w:r>
              <w:t>-21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Promoter was evasive on related-party sales to Zenith Distri</w:t>
            </w:r>
          </w:p>
        </w:tc>
        <w:tc>
          <w:tcPr>
            <w:tcW w:type="dxa" w:w="2160"/>
          </w:tcPr>
          <w:p>
            <w:r>
              <w:t>analyst note</w:t>
            </w:r>
          </w:p>
        </w:tc>
        <w:tc>
          <w:tcPr>
            <w:tcW w:type="dxa" w:w="2160"/>
          </w:tcPr>
          <w:p>
            <w:r>
              <w:t>-20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Going-concern uncertainty flagged by auditor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-21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Possible revenue inflation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-11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Liquidity stress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-6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Debt restructuring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-11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Credit rating downgrade / negative outlook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</w:tr>
      <w:tr>
        <w:tc>
          <w:tcPr>
            <w:tcW w:type="dxa" w:w="2160"/>
          </w:tcPr>
          <w:p>
            <w:r>
              <w:t>Overlay: Auditor emphasis of matter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-6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Limit overdrawals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-8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Overdue / delayed payments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Material related-party transactions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-4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Margin compression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-3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ITC claim under question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-3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Reliance on unsecured promoter funding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-2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 rule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KO-01 Wilful defaulter / RBI defaulter list</w:t>
            </w:r>
          </w:p>
        </w:tc>
        <w:tc>
          <w:tcPr>
            <w:tcW w:type="dxa" w:w="2160"/>
          </w:tcPr>
          <w:p>
            <w:r>
              <w:t>Not on list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KO-02 Existing NPA / SMA-2 classification</w:t>
            </w:r>
          </w:p>
        </w:tc>
        <w:tc>
          <w:tcPr>
            <w:tcW w:type="dxa" w:w="2160"/>
          </w:tcPr>
          <w:p>
            <w:r>
              <w:t>Standard asset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KO-03 Admitted insolvency proceedings</w:t>
            </w:r>
          </w:p>
        </w:tc>
        <w:tc>
          <w:tcPr>
            <w:tcW w:type="dxa" w:w="2160"/>
          </w:tcPr>
          <w:p>
            <w:r>
              <w:t>No CIRP admitted</w:t>
            </w:r>
          </w:p>
        </w:tc>
        <w:tc>
          <w:tcPr>
            <w:tcW w:type="dxa" w:w="2160"/>
          </w:tcPr>
          <w:p>
            <w:r>
              <w:t>none admitted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KO-04 Fraud risk score</w:t>
            </w:r>
          </w:p>
        </w:tc>
        <w:tc>
          <w:tcPr>
            <w:tcW w:type="dxa" w:w="2160"/>
          </w:tcPr>
          <w:p>
            <w:r>
              <w:t>&lt; 75</w:t>
            </w:r>
          </w:p>
        </w:tc>
        <w:tc>
          <w:tcPr>
            <w:tcW w:type="dxa" w:w="2160"/>
          </w:tcPr>
          <w:p>
            <w:r>
              <w:t>92.0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KO-05 Debt service coverage</w:t>
            </w:r>
          </w:p>
        </w:tc>
        <w:tc>
          <w:tcPr>
            <w:tcW w:type="dxa" w:w="2160"/>
          </w:tcPr>
          <w:p>
            <w:r>
              <w:t>&gt;= 0.90x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DV-01 Minimum DSCR</w:t>
            </w:r>
          </w:p>
        </w:tc>
        <w:tc>
          <w:tcPr>
            <w:tcW w:type="dxa" w:w="2160"/>
          </w:tcPr>
          <w:p>
            <w:r>
              <w:t>&gt;= 1.25x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DV-02 Maximum Debt / EBITDA</w:t>
            </w:r>
          </w:p>
        </w:tc>
        <w:tc>
          <w:tcPr>
            <w:tcW w:type="dxa" w:w="2160"/>
          </w:tcPr>
          <w:p>
            <w:r>
              <w:t>&lt;= 4.0x</w:t>
            </w:r>
          </w:p>
        </w:tc>
        <w:tc>
          <w:tcPr>
            <w:tcW w:type="dxa" w:w="2160"/>
          </w:tcPr>
          <w:p>
            <w:r>
              <w:t>9.26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DV-03 Maximum Debt / Equity</w:t>
            </w:r>
          </w:p>
        </w:tc>
        <w:tc>
          <w:tcPr>
            <w:tcW w:type="dxa" w:w="2160"/>
          </w:tcPr>
          <w:p>
            <w:r>
              <w:t>&lt;= 3.0x</w:t>
            </w:r>
          </w:p>
        </w:tc>
        <w:tc>
          <w:tcPr>
            <w:tcW w:type="dxa" w:w="2160"/>
          </w:tcPr>
          <w:p>
            <w:r>
              <w:t>2.95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DV-04 Minimum current ratio</w:t>
            </w:r>
          </w:p>
        </w:tc>
        <w:tc>
          <w:tcPr>
            <w:tcW w:type="dxa" w:w="2160"/>
          </w:tcPr>
          <w:p>
            <w:r>
              <w:t>&gt;= 1.10x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DV-05 GST turnover reconciliation</w:t>
            </w:r>
          </w:p>
        </w:tc>
        <w:tc>
          <w:tcPr>
            <w:tcW w:type="dxa" w:w="2160"/>
          </w:tcPr>
          <w:p>
            <w:r>
              <w:t>&lt;= 10% variance</w:t>
            </w:r>
          </w:p>
        </w:tc>
        <w:tc>
          <w:tcPr>
            <w:tcW w:type="dxa" w:w="2160"/>
          </w:tcPr>
          <w:p>
            <w:r>
              <w:t>8.06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DV-06 Promoter pledge</w:t>
            </w:r>
          </w:p>
        </w:tc>
        <w:tc>
          <w:tcPr>
            <w:tcW w:type="dxa" w:w="2160"/>
          </w:tcPr>
          <w:p>
            <w:r>
              <w:t>&lt;= 50%</w:t>
            </w:r>
          </w:p>
        </w:tc>
        <w:tc>
          <w:tcPr>
            <w:tcW w:type="dxa" w:w="2160"/>
          </w:tcPr>
          <w:p>
            <w:r>
              <w:t>62.0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DV-07 Collateral coverage</w:t>
            </w:r>
          </w:p>
        </w:tc>
        <w:tc>
          <w:tcPr>
            <w:tcW w:type="dxa" w:w="2160"/>
          </w:tcPr>
          <w:p>
            <w:r>
              <w:t>&gt;= 1.0x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DV-08 Litigation intensity</w:t>
            </w:r>
          </w:p>
        </w:tc>
        <w:tc>
          <w:tcPr>
            <w:tcW w:type="dxa" w:w="2160"/>
          </w:tcPr>
          <w:p>
            <w:r>
              <w:t>&lt;= 60</w:t>
            </w:r>
          </w:p>
        </w:tc>
        <w:tc>
          <w:tcPr>
            <w:tcW w:type="dxa" w:w="2160"/>
          </w:tcPr>
          <w:p>
            <w:r>
              <w:t>94.8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DV-09 Cheque/ECS bounces (6m)</w:t>
            </w:r>
          </w:p>
        </w:tc>
        <w:tc>
          <w:tcPr>
            <w:tcW w:type="dxa" w:w="2160"/>
          </w:tcPr>
          <w:p>
            <w:r>
              <w:t>&lt;= 2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DV-10 Going-concern / audit qualification</w:t>
            </w:r>
          </w:p>
        </w:tc>
        <w:tc>
          <w:tcPr>
            <w:tcW w:type="dxa" w:w="2160"/>
          </w:tcPr>
          <w:p>
            <w:r>
              <w:t>Clean opinion</w:t>
            </w:r>
          </w:p>
        </w:tc>
        <w:tc>
          <w:tcPr>
            <w:tcW w:type="dxa" w:w="2160"/>
          </w:tcPr>
          <w:p>
            <w:r>
              <w:t>Going-concern uncertainty flagged by auditor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p>
      <w:r>
        <w:rPr>
          <w:i/>
        </w:rPr>
        <w:t>Model score 317 = base 657 pts + feature points (exact TreeSHAP attribution, PDO-scaled); overlays -131 pts give final score 300. Model xgb-20261004-131921 (AUC 0.8764).</w:t>
      </w:r>
    </w:p>
    <w:p>
      <w:pPr>
        <w:pStyle w:val="Heading1"/>
      </w:pPr>
      <w:r>
        <w:t>11. Analyst Observations</w:t>
      </w:r>
    </w:p>
    <w:p>
      <w:r>
        <w:t>2 qualitative observation(s) recorded by the underwriting team.</w:t>
      </w:r>
    </w:p>
    <w:p>
      <w:pPr>
        <w:pStyle w:val="ListBullet"/>
      </w:pPr>
      <w:r>
        <w:t>Site Visit: Factory operating at 40% capacity during site visit; two of five press lines idle. (score impact -21 pts)</w:t>
      </w:r>
    </w:p>
    <w:p>
      <w:pPr>
        <w:pStyle w:val="ListBullet"/>
      </w:pPr>
      <w:r>
        <w:t>Management: Promoter was evasive on related-party sales to Zenith Distributors and could not explain the round-value invoices. (score impact -20 pts)</w:t>
      </w:r>
    </w:p>
    <w:p>
      <w:pPr>
        <w:pStyle w:val="Heading1"/>
      </w:pPr>
      <w:r>
        <w:t>12. Loan Sizing &amp; Risk-Based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Eligible amount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Requested amount</w:t>
            </w:r>
          </w:p>
        </w:tc>
        <w:tc>
          <w:tcPr>
            <w:tcW w:type="dxa" w:w="2880"/>
          </w:tcPr>
          <w:p>
            <w:r>
              <w:t>₹25.00 Cr</w:t>
            </w:r>
          </w:p>
        </w:tc>
        <w:tc>
          <w:tcPr>
            <w:tcW w:type="dxa" w:w="2880"/>
          </w:tcPr>
          <w:p>
            <w:r>
              <w:t>Applicant request</w:t>
            </w:r>
          </w:p>
        </w:tc>
      </w:tr>
      <w:tr>
        <w:tc>
          <w:tcPr>
            <w:tcW w:type="dxa" w:w="2880"/>
          </w:tcPr>
          <w:p>
            <w:r>
              <w:t>Turnover method (Nayak Committee)</w:t>
            </w:r>
          </w:p>
        </w:tc>
        <w:tc>
          <w:tcPr>
            <w:tcW w:type="dxa" w:w="2880"/>
          </w:tcPr>
          <w:p>
            <w:r>
              <w:t>₹37.20 Cr</w:t>
            </w:r>
          </w:p>
        </w:tc>
        <w:tc>
          <w:tcPr>
            <w:tcW w:type="dxa" w:w="2880"/>
          </w:tcPr>
          <w:p>
            <w:r>
              <w:t>20% of projected annual turnover (25% WC need less 5% promoter margin)</w:t>
            </w:r>
          </w:p>
        </w:tc>
      </w:tr>
      <w:tr>
        <w:tc>
          <w:tcPr>
            <w:tcW w:type="dxa" w:w="2880"/>
          </w:tcPr>
          <w:p>
            <w:r>
              <w:t>Leverage ceiling ★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2.00x Debt/EBITDA for grade; existing WC lines assumed refinanced</w:t>
            </w:r>
          </w:p>
        </w:tc>
      </w:tr>
      <w:tr>
        <w:tc>
          <w:tcPr>
            <w:tcW w:type="dxa" w:w="2880"/>
          </w:tcPr>
          <w:p>
            <w:r>
              <w:t>Security cover</w:t>
            </w:r>
          </w:p>
        </w:tc>
        <w:tc>
          <w:tcPr>
            <w:tcW w:type="dxa" w:w="2880"/>
          </w:tcPr>
          <w:p>
            <w:r>
              <w:t>₹14.40 Cr</w:t>
            </w:r>
          </w:p>
        </w:tc>
        <w:tc>
          <w:tcPr>
            <w:tcW w:type="dxa" w:w="2880"/>
          </w:tcPr>
          <w:p>
            <w:r>
              <w:t>Collateral value / 1.25x minimum security cover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Pricing component</w:t>
            </w:r>
          </w:p>
        </w:tc>
        <w:tc>
          <w:tcPr>
            <w:tcW w:type="dxa" w:w="2880"/>
          </w:tcPr>
          <w:p>
            <w:r>
              <w:t>bps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Benchmark (EBLR/MCLR)</w:t>
            </w:r>
          </w:p>
        </w:tc>
        <w:tc>
          <w:tcPr>
            <w:tcW w:type="dxa" w:w="2880"/>
          </w:tcPr>
          <w:p>
            <w:r>
              <w:t>+925</w:t>
            </w:r>
          </w:p>
        </w:tc>
        <w:tc>
          <w:tcPr>
            <w:tcW w:type="dxa" w:w="2880"/>
          </w:tcPr>
          <w:p>
            <w:r>
              <w:t>Bank's external benchmark lending rate (RBI repo 5.50%)</w:t>
            </w:r>
          </w:p>
        </w:tc>
      </w:tr>
      <w:tr>
        <w:tc>
          <w:tcPr>
            <w:tcW w:type="dxa" w:w="2880"/>
          </w:tcPr>
          <w:p>
            <w:r>
              <w:t>Credit risk premium (CX8)</w:t>
            </w:r>
          </w:p>
        </w:tc>
        <w:tc>
          <w:tcPr>
            <w:tcW w:type="dxa" w:w="2880"/>
          </w:tcPr>
          <w:p>
            <w:r>
              <w:t>+600</w:t>
            </w:r>
          </w:p>
        </w:tc>
        <w:tc>
          <w:tcPr>
            <w:tcW w:type="dxa" w:w="2880"/>
          </w:tcPr>
          <w:p>
            <w:r>
              <w:t>Grade-linked spread</w:t>
            </w:r>
          </w:p>
        </w:tc>
      </w:tr>
      <w:tr>
        <w:tc>
          <w:tcPr>
            <w:tcW w:type="dxa" w:w="2880"/>
          </w:tcPr>
          <w:p>
            <w:r>
              <w:t>Unsecured exposure premium</w:t>
            </w:r>
          </w:p>
        </w:tc>
        <w:tc>
          <w:tcPr>
            <w:tcW w:type="dxa" w:w="2880"/>
          </w:tcPr>
          <w:p>
            <w:r>
              <w:t>+50</w:t>
            </w:r>
          </w:p>
        </w:tc>
        <w:tc>
          <w:tcPr>
            <w:tcW w:type="dxa" w:w="2880"/>
          </w:tcPr>
          <w:p>
            <w:r>
              <w:t>Security cover 0.72x</w:t>
            </w:r>
          </w:p>
        </w:tc>
      </w:tr>
      <w:tr>
        <w:tc>
          <w:tcPr>
            <w:tcW w:type="dxa" w:w="2880"/>
          </w:tcPr>
          <w:p>
            <w:r>
              <w:t>Policy deviation premium</w:t>
            </w:r>
          </w:p>
        </w:tc>
        <w:tc>
          <w:tcPr>
            <w:tcW w:type="dxa" w:w="2880"/>
          </w:tcPr>
          <w:p>
            <w:r>
              <w:t>+75</w:t>
            </w:r>
          </w:p>
        </w:tc>
        <w:tc>
          <w:tcPr>
            <w:tcW w:type="dxa" w:w="2880"/>
          </w:tcPr>
          <w:p>
            <w:r>
              <w:t>8 policy deviation(s) approved at sanction</w:t>
            </w:r>
          </w:p>
        </w:tc>
      </w:tr>
      <w:tr>
        <w:tc>
          <w:tcPr>
            <w:tcW w:type="dxa" w:w="2880"/>
          </w:tcPr>
          <w:p>
            <w:r>
              <w:t>Forensic risk premium</w:t>
            </w:r>
          </w:p>
        </w:tc>
        <w:tc>
          <w:tcPr>
            <w:tcW w:type="dxa" w:w="2880"/>
          </w:tcPr>
          <w:p>
            <w:r>
              <w:t>+40</w:t>
            </w:r>
          </w:p>
        </w:tc>
        <w:tc>
          <w:tcPr>
            <w:tcW w:type="dxa" w:w="2880"/>
          </w:tcPr>
          <w:p>
            <w:r>
              <w:t>Elevated fraud-risk score</w:t>
            </w:r>
          </w:p>
        </w:tc>
      </w:tr>
      <w:tr>
        <w:tc>
          <w:tcPr>
            <w:tcW w:type="dxa" w:w="2880"/>
          </w:tcPr>
          <w:p>
            <w:r>
              <w:t>All-in rate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  <w:tc>
          <w:tcPr>
            <w:tcW w:type="dxa" w:w="2880"/>
          </w:tcPr>
          <w:p>
            <w:r>
              <w:t>Spread 7.65% over benchmark</w:t>
            </w:r>
          </w:p>
        </w:tc>
      </w:tr>
    </w:tbl>
    <w:p>
      <w:r>
        <w:rPr>
          <w:i/>
        </w:rPr>
        <w:t>Recommended ₹0; binding constraint: Leverage ceiling.</w:t>
      </w:r>
    </w:p>
    <w:p>
      <w:pPr>
        <w:pStyle w:val="Heading1"/>
      </w:pPr>
      <w:r>
        <w:t>13. Recommendation &amp; Conditions</w:t>
      </w:r>
    </w:p>
    <w:p>
      <w:r>
        <w:t>Recommendation: Decline — ₹0 at 16.9% p.a. for 12 months.</w:t>
      </w:r>
    </w:p>
    <w:p>
      <w:r>
        <w:rPr>
          <w:b/>
        </w:rPr>
        <w:t>Basis of recommendation</w:t>
      </w:r>
    </w:p>
    <w:p>
      <w:pPr>
        <w:pStyle w:val="ListBullet"/>
      </w:pPr>
      <w:r>
        <w:t>Knock-out KO-04: Fraud risk score (actual 92.0, required &lt; 75)</w:t>
      </w:r>
    </w:p>
    <w:p>
      <w:pPr>
        <w:pStyle w:val="ListBullet"/>
      </w:pPr>
      <w:r>
        <w:t>Knock-out KO-05: Debt service coverage (actual 0.56, required &gt;= 0.90x)</w:t>
      </w:r>
    </w:p>
    <w:p>
      <w:r>
        <w:rPr>
          <w:b/>
        </w:rPr>
        <w:t>Key risks</w:t>
      </w:r>
    </w:p>
    <w:p>
      <w:pPr>
        <w:pStyle w:val="ListBullet"/>
      </w:pPr>
      <w:r>
        <w:t>Litigation intensity 95 (-61 pts)</w:t>
      </w:r>
    </w:p>
    <w:p>
      <w:pPr>
        <w:pStyle w:val="ListBullet"/>
      </w:pPr>
      <w:r>
        <w:t>Fraud risk score 92 (-61 pts)</w:t>
      </w:r>
    </w:p>
    <w:p>
      <w:pPr>
        <w:pStyle w:val="ListBullet"/>
      </w:pPr>
      <w:r>
        <w:t>Debt service coverage 0.56x (-46 pts)</w:t>
      </w:r>
    </w:p>
    <w:p>
      <w:pPr>
        <w:pStyle w:val="ListBullet"/>
      </w:pPr>
      <w:r>
        <w:t>Cheque/ECS bounces 3 (-30 pts)</w:t>
      </w:r>
    </w:p>
    <w:p>
      <w:pPr>
        <w:pStyle w:val="ListBullet"/>
      </w:pPr>
      <w:r>
        <w:t>Interest coverage 1.23x (-23 pts)</w:t>
      </w:r>
    </w:p>
    <w:p>
      <w:pPr>
        <w:pStyle w:val="ListBullet"/>
      </w:pPr>
      <w:r>
        <w:t>Factory operating at 40% capacity during site visit; two of five press lines idle. (-21 pts)</w:t>
      </w:r>
    </w:p>
    <w:p>
      <w:pPr>
        <w:pStyle w:val="ListBullet"/>
      </w:pPr>
      <w:r>
        <w:t>Going-concern uncertainty flagged by auditor (-21 pts)</w:t>
      </w:r>
    </w:p>
    <w:p>
      <w:pPr>
        <w:pStyle w:val="ListBullet"/>
      </w:pPr>
      <w:r>
        <w:t>Promoter was evasive on related-party sales to Zenith Distributors and could not explain the round-value invoices. (-20 pts)</w:t>
      </w:r>
    </w:p>
    <w:p>
      <w:r>
        <w:rPr>
          <w:b/>
        </w:rPr>
        <w:t>Mitigants / strengths</w:t>
      </w:r>
    </w:p>
    <w:p>
      <w:pPr>
        <w:pStyle w:val="ListBullet"/>
      </w:pPr>
      <w:r>
        <w:t>Sector risk 3 (+3 pts)</w:t>
      </w:r>
    </w:p>
    <w:p>
      <w:pPr>
        <w:pStyle w:val="ListBullet"/>
      </w:pPr>
      <w:r>
        <w:t>Business vintage 15 yrs (+2 pts)</w:t>
      </w:r>
    </w:p>
    <w:p>
      <w:pPr>
        <w:pStyle w:val="Heading1"/>
      </w:pPr>
      <w:r>
        <w:t>Annexure — Documents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Extraction confidence</w:t>
            </w:r>
          </w:p>
        </w:tc>
      </w:tr>
      <w:tr>
        <w:tc>
          <w:tcPr>
            <w:tcW w:type="dxa" w:w="2880"/>
          </w:tcPr>
          <w:p>
            <w:r>
              <w:t>annual_report_FY25.pdf</w:t>
            </w:r>
          </w:p>
        </w:tc>
        <w:tc>
          <w:tcPr>
            <w:tcW w:type="dxa" w:w="2880"/>
          </w:tcPr>
          <w:p>
            <w:r>
              <w:t>Financial Statement</w:t>
            </w:r>
          </w:p>
        </w:tc>
        <w:tc>
          <w:tcPr>
            <w:tcW w:type="dxa" w:w="2880"/>
          </w:tcPr>
          <w:p>
            <w:r>
              <w:t>91%</w:t>
            </w:r>
          </w:p>
        </w:tc>
      </w:tr>
      <w:tr>
        <w:tc>
          <w:tcPr>
            <w:tcW w:type="dxa" w:w="2880"/>
          </w:tcPr>
          <w:p>
            <w:r>
              <w:t>gst_returns_FY25.pdf</w:t>
            </w:r>
          </w:p>
        </w:tc>
        <w:tc>
          <w:tcPr>
            <w:tcW w:type="dxa" w:w="2880"/>
          </w:tcPr>
          <w:p>
            <w:r>
              <w:t>Gst Return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bank_statement_Oct24-Mar25.pdf</w:t>
            </w:r>
          </w:p>
        </w:tc>
        <w:tc>
          <w:tcPr>
            <w:tcW w:type="dxa" w:w="2880"/>
          </w:tcPr>
          <w:p>
            <w:r>
              <w:t>Bank Statement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mca_mgt7_extract.pdf</w:t>
            </w:r>
          </w:p>
        </w:tc>
        <w:tc>
          <w:tcPr>
            <w:tcW w:type="dxa" w:w="2880"/>
          </w:tcPr>
          <w:p>
            <w:r>
              <w:t>Mca Filing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shareholding_pattern.pdf</w:t>
            </w:r>
          </w:p>
        </w:tc>
        <w:tc>
          <w:tcPr>
            <w:tcW w:type="dxa" w:w="2880"/>
          </w:tcPr>
          <w:p>
            <w:r>
              <w:t>Shareholding Pattern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existing_sanction_letter.pdf</w:t>
            </w:r>
          </w:p>
        </w:tc>
        <w:tc>
          <w:tcPr>
            <w:tcW w:type="dxa" w:w="2880"/>
          </w:tcPr>
          <w:p>
            <w:r>
              <w:t>Sanction Letter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legal_notice_1.pdf</w:t>
            </w:r>
          </w:p>
        </w:tc>
        <w:tc>
          <w:tcPr>
            <w:tcW w:type="dxa" w:w="2880"/>
          </w:tcPr>
          <w:p>
            <w:r>
              <w:t>Legal Notice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legal_notice_2.pdf</w:t>
            </w:r>
          </w:p>
        </w:tc>
        <w:tc>
          <w:tcPr>
            <w:tcW w:type="dxa" w:w="2880"/>
          </w:tcPr>
          <w:p>
            <w:r>
              <w:t>Legal Notice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</w:tbl>
    <w:p>
      <w:r>
        <w:rPr>
          <w:i/>
        </w:rPr>
        <w:t>Generated by CredX on 04 Oct 2026 15:23 UTC. Machine-generated recommendation; final sanction rests with the delegated authority.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Prepared by (Credit Analyst)</w:t>
            </w:r>
          </w:p>
        </w:tc>
        <w:tc>
          <w:tcPr>
            <w:tcW w:type="dxa" w:w="2880"/>
          </w:tcPr>
          <w:p>
            <w:r>
              <w:t>Reviewed by (Credit Manager)</w:t>
            </w:r>
          </w:p>
        </w:tc>
        <w:tc>
          <w:tcPr>
            <w:tcW w:type="dxa" w:w="2880"/>
          </w:tcPr>
          <w:p>
            <w:r>
              <w:t>Sanctioning Authority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