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endor-proposal-bluepeak-hosting"/>
    <w:p>
      <w:pPr>
        <w:pStyle w:val="Heading1"/>
      </w:pPr>
      <w:r>
        <w:t xml:space="preserve">Vendor Proposal: BluePeak Hosting</w:t>
      </w:r>
    </w:p>
    <w:bookmarkStart w:id="9" w:name="commercial-terms"/>
    <w:p>
      <w:pPr>
        <w:pStyle w:val="Heading2"/>
      </w:pPr>
      <w:r>
        <w:t xml:space="preserve">Commercial Terms</w:t>
      </w:r>
    </w:p>
    <w:p>
      <w:pPr>
        <w:pStyle w:val="FirstParagraph"/>
      </w:pPr>
      <w:r>
        <w:t xml:space="preserve">Total contract value: INR 31,50,000 for a 36-month cloud hosting agreement.</w:t>
      </w:r>
      <w:r>
        <w:t xml:space="preserve"> </w:t>
      </w:r>
      <w:r>
        <w:t xml:space="preserve">Payment terms: monthly billing, no upfront deposit.</w:t>
      </w:r>
      <w:r>
        <w:t xml:space="preserve"> </w:t>
      </w:r>
      <w:r>
        <w:t xml:space="preserve">Note: pricing is fixed for year 1 only. From year 2 onward, the contract renews at a 25% price increase unless renegotiated at that time.</w:t>
      </w:r>
    </w:p>
    <w:bookmarkEnd w:id="9"/>
    <w:bookmarkStart w:id="10" w:name="service-level-agreement"/>
    <w:p>
      <w:pPr>
        <w:pStyle w:val="Heading2"/>
      </w:pPr>
      <w:r>
        <w:t xml:space="preserve">Service Level Agreement</w:t>
      </w:r>
    </w:p>
    <w:p>
      <w:pPr>
        <w:pStyle w:val="FirstParagraph"/>
      </w:pPr>
      <w:r>
        <w:t xml:space="preserve">We commit to 99.9% uptime, measured monthly, across our primary data center.</w:t>
      </w:r>
    </w:p>
    <w:bookmarkEnd w:id="10"/>
    <w:bookmarkStart w:id="11" w:name="implementation-timeline"/>
    <w:p>
      <w:pPr>
        <w:pStyle w:val="Heading2"/>
      </w:pPr>
      <w:r>
        <w:t xml:space="preserve">Implementation Timeline</w:t>
      </w:r>
    </w:p>
    <w:p>
      <w:pPr>
        <w:pStyle w:val="FirstParagraph"/>
      </w:pPr>
      <w:r>
        <w:t xml:space="preserve">Standard onboarding and migration takes approximately 18 weeks, depending on workload complexity.</w:t>
      </w:r>
    </w:p>
    <w:bookmarkEnd w:id="11"/>
    <w:bookmarkStart w:id="1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Support is available during business hours (9 AM to 6 PM IST, Monday to Friday). 24/7 Network Operations Center coverage is available as a paid add-on at an additional 15% of contract value.</w:t>
      </w:r>
    </w:p>
    <w:bookmarkEnd w:id="12"/>
    <w:bookmarkStart w:id="13" w:name="technical-capabilities"/>
    <w:p>
      <w:pPr>
        <w:pStyle w:val="Heading2"/>
      </w:pPr>
      <w:r>
        <w:t xml:space="preserve">Technical Capabilities</w:t>
      </w:r>
    </w:p>
    <w:p>
      <w:pPr>
        <w:pStyle w:val="Compact"/>
        <w:numPr>
          <w:ilvl w:val="0"/>
          <w:numId w:val="1001"/>
        </w:numPr>
      </w:pPr>
      <w:r>
        <w:t xml:space="preserve">REST API available for infrastructure metrics (read-only access)</w:t>
      </w:r>
    </w:p>
    <w:p>
      <w:pPr>
        <w:pStyle w:val="Compact"/>
        <w:numPr>
          <w:ilvl w:val="0"/>
          <w:numId w:val="1001"/>
        </w:numPr>
      </w:pPr>
      <w:r>
        <w:t xml:space="preserve">Single-region deployment; multi-region failover is on our product roadmap but not currently available</w:t>
      </w:r>
    </w:p>
    <w:p>
      <w:pPr>
        <w:pStyle w:val="Compact"/>
        <w:numPr>
          <w:ilvl w:val="0"/>
          <w:numId w:val="1001"/>
        </w:numPr>
      </w:pPr>
      <w:r>
        <w:t xml:space="preserve">Data encrypted at rest (AES-256)</w:t>
      </w:r>
    </w:p>
    <w:bookmarkEnd w:id="13"/>
    <w:bookmarkStart w:id="14" w:name="compliance-certifications"/>
    <w:p>
      <w:pPr>
        <w:pStyle w:val="Heading2"/>
      </w:pPr>
      <w:r>
        <w:t xml:space="preserve">Compliance &amp; Certifications</w:t>
      </w:r>
    </w:p>
    <w:p>
      <w:pPr>
        <w:pStyle w:val="FirstParagraph"/>
      </w:pPr>
      <w:r>
        <w:t xml:space="preserve">SOC 2 Type I audit completed. SOC 2 Type II audit is planned for the next fiscal year but not yet completed.</w:t>
      </w:r>
    </w:p>
    <w:bookmarkEnd w:id="14"/>
    <w:bookmarkStart w:id="15" w:name="contract-terms"/>
    <w:p>
      <w:pPr>
        <w:pStyle w:val="Heading2"/>
      </w:pPr>
      <w:r>
        <w:t xml:space="preserve">Contract Terms</w:t>
      </w:r>
    </w:p>
    <w:p>
      <w:pPr>
        <w:pStyle w:val="FirstParagraph"/>
      </w:pPr>
      <w:r>
        <w:t xml:space="preserve">Standard 36-month term with auto-renewal. Early termination fee applies if canceled before month 12.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2026-08-29T14:49:43Z</dcterms:created>
  <dcterms:modified xsi:type="dcterms:W3CDTF">2026-08-29T14:49:43Z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