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vendor-proposal-nimbus-erp-solutions"/>
    <w:p>
      <w:pPr>
        <w:pStyle w:val="Heading1"/>
      </w:pPr>
      <w:r>
        <w:t xml:space="preserve">Vendor Proposal: Nimbus ERP Solutions</w:t>
      </w:r>
    </w:p>
    <w:bookmarkStart w:id="9" w:name="commercial-terms"/>
    <w:p>
      <w:pPr>
        <w:pStyle w:val="Heading2"/>
      </w:pPr>
      <w:r>
        <w:t xml:space="preserve">Commercial Terms</w:t>
      </w:r>
    </w:p>
    <w:p>
      <w:pPr>
        <w:pStyle w:val="FirstParagraph"/>
      </w:pPr>
      <w:r>
        <w:t xml:space="preserve">Total contract price: INR 21,50,000 for a 24-month term.</w:t>
      </w:r>
      <w:r>
        <w:t xml:space="preserve"> </w:t>
      </w:r>
      <w:r>
        <w:t xml:space="preserve">Payment terms: 20% upfront, remainder billed quarterly.</w:t>
      </w:r>
      <w:r>
        <w:t xml:space="preserve"> </w:t>
      </w:r>
      <w:r>
        <w:t xml:space="preserve">Annual renewal increase capped at 4%.</w:t>
      </w:r>
    </w:p>
    <w:bookmarkEnd w:id="9"/>
    <w:bookmarkStart w:id="10" w:name="service-level-agreement"/>
    <w:p>
      <w:pPr>
        <w:pStyle w:val="Heading2"/>
      </w:pPr>
      <w:r>
        <w:t xml:space="preserve">Service Level Agreement</w:t>
      </w:r>
    </w:p>
    <w:p>
      <w:pPr>
        <w:pStyle w:val="FirstParagraph"/>
      </w:pPr>
      <w:r>
        <w:t xml:space="preserve">We guarantee 99.97% uptime, measured monthly, with service credits for any breach.</w:t>
      </w:r>
    </w:p>
    <w:bookmarkEnd w:id="10"/>
    <w:bookmarkStart w:id="11" w:name="implementation"/>
    <w:p>
      <w:pPr>
        <w:pStyle w:val="Heading2"/>
      </w:pPr>
      <w:r>
        <w:t xml:space="preserve">Implementation</w:t>
      </w:r>
    </w:p>
    <w:p>
      <w:pPr>
        <w:pStyle w:val="FirstParagraph"/>
      </w:pPr>
      <w:r>
        <w:t xml:space="preserve">Estimated implementation and onboarding timeline: 9 weeks from contract signature.</w:t>
      </w:r>
    </w:p>
    <w:bookmarkEnd w:id="11"/>
    <w:bookmarkStart w:id="12" w:name="support"/>
    <w:p>
      <w:pPr>
        <w:pStyle w:val="Heading2"/>
      </w:pPr>
      <w:r>
        <w:t xml:space="preserve">Support</w:t>
      </w:r>
    </w:p>
    <w:p>
      <w:pPr>
        <w:pStyle w:val="FirstParagraph"/>
      </w:pPr>
      <w:r>
        <w:t xml:space="preserve">24/7 phone, chat, and email support included at no extra cost, with a dedicated account manager.</w:t>
      </w:r>
    </w:p>
    <w:bookmarkEnd w:id="12"/>
    <w:bookmarkStart w:id="13" w:name="technical-capabilities"/>
    <w:p>
      <w:pPr>
        <w:pStyle w:val="Heading2"/>
      </w:pPr>
      <w:r>
        <w:t xml:space="preserve">Technical Capabilities</w:t>
      </w:r>
    </w:p>
    <w:p>
      <w:pPr>
        <w:pStyle w:val="Compact"/>
        <w:numPr>
          <w:ilvl w:val="0"/>
          <w:numId w:val="1001"/>
        </w:numPr>
      </w:pPr>
      <w:r>
        <w:t xml:space="preserve">Full REST API with OpenAPI documentation</w:t>
      </w:r>
    </w:p>
    <w:p>
      <w:pPr>
        <w:pStyle w:val="Compact"/>
        <w:numPr>
          <w:ilvl w:val="0"/>
          <w:numId w:val="1001"/>
        </w:numPr>
      </w:pPr>
      <w:r>
        <w:t xml:space="preserve">Single Sign-On (SSO) via SAML 2.0 and OAuth2</w:t>
      </w:r>
    </w:p>
    <w:p>
      <w:pPr>
        <w:pStyle w:val="Compact"/>
        <w:numPr>
          <w:ilvl w:val="0"/>
          <w:numId w:val="1001"/>
        </w:numPr>
      </w:pPr>
      <w:r>
        <w:t xml:space="preserve">Data encrypted at rest (AES-256) and in transit (TLS 1.3)</w:t>
      </w:r>
    </w:p>
    <w:p>
      <w:pPr>
        <w:pStyle w:val="Compact"/>
        <w:numPr>
          <w:ilvl w:val="0"/>
          <w:numId w:val="1001"/>
        </w:numPr>
      </w:pPr>
      <w:r>
        <w:t xml:space="preserve">SOC 2 Type II certified; ISO 27001 certification in progress</w:t>
      </w:r>
    </w:p>
    <w:bookmarkEnd w:id="13"/>
    <w:bookmarkStart w:id="14" w:name="data-retention"/>
    <w:p>
      <w:pPr>
        <w:pStyle w:val="Heading2"/>
      </w:pPr>
      <w:r>
        <w:t xml:space="preserve">Data Retention</w:t>
      </w:r>
    </w:p>
    <w:p>
      <w:pPr>
        <w:pStyle w:val="FirstParagraph"/>
      </w:pPr>
      <w:r>
        <w:t xml:space="preserve">Customer data retained for 7 years post-contract, with documented deletion procedures on request.</w:t>
      </w:r>
    </w:p>
    <w:bookmarkEnd w:id="14"/>
    <w:bookmarkStart w:id="15" w:name="known-limitations"/>
    <w:p>
      <w:pPr>
        <w:pStyle w:val="Heading2"/>
      </w:pPr>
      <w:r>
        <w:t xml:space="preserve">Known Limitations</w:t>
      </w:r>
    </w:p>
    <w:p>
      <w:pPr>
        <w:pStyle w:val="Compact"/>
        <w:numPr>
          <w:ilvl w:val="0"/>
          <w:numId w:val="1002"/>
        </w:numPr>
      </w:pPr>
      <w:r>
        <w:t xml:space="preserve">Mobile app is web-based (no native iOS/Android app yet)</w:t>
      </w:r>
    </w:p>
    <w:p>
      <w:pPr>
        <w:pStyle w:val="Compact"/>
        <w:numPr>
          <w:ilvl w:val="0"/>
          <w:numId w:val="1002"/>
        </w:numPr>
      </w:pPr>
      <w:r>
        <w:t xml:space="preserve">Custom reporting module requires a paid add-on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2026-08-29T13:36:59Z</dcterms:created>
  <dcterms:modified xsi:type="dcterms:W3CDTF">2026-08-29T13:36:59Z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