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vendor-proposal-fortivue-analytics"/>
    <w:p>
      <w:pPr>
        <w:pStyle w:val="Heading1"/>
      </w:pPr>
      <w:r>
        <w:t xml:space="preserve">Vendor Proposal: Fortivue Analytics</w:t>
      </w:r>
    </w:p>
    <w:bookmarkStart w:id="9" w:name="commercial-terms"/>
    <w:p>
      <w:pPr>
        <w:pStyle w:val="Heading2"/>
      </w:pPr>
      <w:r>
        <w:t xml:space="preserve">Commercial Terms</w:t>
      </w:r>
    </w:p>
    <w:p>
      <w:pPr>
        <w:pStyle w:val="FirstParagraph"/>
      </w:pPr>
      <w:r>
        <w:t xml:space="preserve">Total contract value: INR 24,00,000 for an 18-month security monitoring engagement (SIEM module only).</w:t>
      </w:r>
      <w:r>
        <w:t xml:space="preserve"> </w:t>
      </w:r>
      <w:r>
        <w:t xml:space="preserve">Payment terms: quarterly billing.</w:t>
      </w:r>
      <w:r>
        <w:t xml:space="preserve"> </w:t>
      </w:r>
      <w:r>
        <w:t xml:space="preserve">Contract renews annually with a 15% price review at each renewal.</w:t>
      </w:r>
    </w:p>
    <w:bookmarkEnd w:id="9"/>
    <w:bookmarkStart w:id="10" w:name="service-level-agreement"/>
    <w:p>
      <w:pPr>
        <w:pStyle w:val="Heading2"/>
      </w:pPr>
      <w:r>
        <w:t xml:space="preserve">Service Level Agreement</w:t>
      </w:r>
    </w:p>
    <w:p>
      <w:pPr>
        <w:pStyle w:val="FirstParagraph"/>
      </w:pPr>
      <w:r>
        <w:t xml:space="preserve">Platform uptime commitment: 99.5%, measured quarterly.</w:t>
      </w:r>
    </w:p>
    <w:bookmarkEnd w:id="10"/>
    <w:bookmarkStart w:id="11" w:name="implementation-timeline"/>
    <w:p>
      <w:pPr>
        <w:pStyle w:val="Heading2"/>
      </w:pPr>
      <w:r>
        <w:t xml:space="preserve">Implementation Timeline</w:t>
      </w:r>
    </w:p>
    <w:p>
      <w:pPr>
        <w:pStyle w:val="FirstParagraph"/>
      </w:pPr>
      <w:r>
        <w:t xml:space="preserve">Full deployment and dashboard configuration takes approximately 12 weeks.</w:t>
      </w:r>
    </w:p>
    <w:bookmarkEnd w:id="11"/>
    <w:bookmarkStart w:id="12" w:name="support-incident-response"/>
    <w:p>
      <w:pPr>
        <w:pStyle w:val="Heading2"/>
      </w:pPr>
      <w:r>
        <w:t xml:space="preserve">Support &amp; Incident Response</w:t>
      </w:r>
    </w:p>
    <w:p>
      <w:pPr>
        <w:pStyle w:val="FirstParagraph"/>
      </w:pPr>
      <w:r>
        <w:t xml:space="preserve">Support is available during business hours (Monday to Friday, 9 AM to 6 PM IST). 24/7 on-call incident response is available as a paid add-on, billed separately.</w:t>
      </w:r>
    </w:p>
    <w:bookmarkEnd w:id="12"/>
    <w:bookmarkStart w:id="13" w:name="technical-capabilities"/>
    <w:p>
      <w:pPr>
        <w:pStyle w:val="Heading2"/>
      </w:pPr>
      <w:r>
        <w:t xml:space="preserve">Technical Capabilities</w:t>
      </w:r>
    </w:p>
    <w:p>
      <w:pPr>
        <w:pStyle w:val="Compact"/>
        <w:numPr>
          <w:ilvl w:val="0"/>
          <w:numId w:val="1001"/>
        </w:numPr>
      </w:pPr>
      <w:r>
        <w:t xml:space="preserve">SIEM module included in base price, with customizable dashboards</w:t>
      </w:r>
    </w:p>
    <w:p>
      <w:pPr>
        <w:pStyle w:val="Compact"/>
        <w:numPr>
          <w:ilvl w:val="0"/>
          <w:numId w:val="1001"/>
        </w:numPr>
      </w:pPr>
      <w:r>
        <w:t xml:space="preserve">EDR (Endpoint Detection and Response) is sold as a separate module at an additional cost of approximately INR 6,00,000 per year</w:t>
      </w:r>
    </w:p>
    <w:p>
      <w:pPr>
        <w:pStyle w:val="Compact"/>
        <w:numPr>
          <w:ilvl w:val="0"/>
          <w:numId w:val="1001"/>
        </w:numPr>
      </w:pPr>
      <w:r>
        <w:t xml:space="preserve">REST API available for dashboard data exports (read-only)</w:t>
      </w:r>
    </w:p>
    <w:bookmarkEnd w:id="13"/>
    <w:bookmarkStart w:id="14" w:name="compliance-reporting"/>
    <w:p>
      <w:pPr>
        <w:pStyle w:val="Heading2"/>
      </w:pPr>
      <w:r>
        <w:t xml:space="preserve">Compliance &amp; Reporting</w:t>
      </w:r>
    </w:p>
    <w:p>
      <w:pPr>
        <w:pStyle w:val="FirstParagraph"/>
      </w:pPr>
      <w:r>
        <w:t xml:space="preserve">Compliance reporting templates for ISO 27001 are available, but require manual configuration and mapping by the customer’s internal team — no out-of-the-box automated reporting is included.</w:t>
      </w:r>
    </w:p>
    <w:bookmarkEnd w:id="14"/>
    <w:bookmarkStart w:id="15" w:name="contract-terms"/>
    <w:p>
      <w:pPr>
        <w:pStyle w:val="Heading2"/>
      </w:pPr>
      <w:r>
        <w:t xml:space="preserve">Contract Terms</w:t>
      </w:r>
    </w:p>
    <w:p>
      <w:pPr>
        <w:pStyle w:val="FirstParagraph"/>
      </w:pPr>
      <w:r>
        <w:t xml:space="preserve">Standard 12-month renewal cycle with a 15% price review at each renewal point.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2026-08-29T14:49:49Z</dcterms:created>
  <dcterms:modified xsi:type="dcterms:W3CDTF">2026-08-29T14:49:49Z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