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68"/>
        <w:gridCol w:w="4968"/>
      </w:tblGrid>
      <w:tr>
        <w:tc>
          <w:tcPr>
            <w:tcW w:type="dxa" w:w="4464"/>
          </w:tcPr>
          <w:p>
            <w:pPr>
              <w:jc w:val="center"/>
            </w:pPr>
            <w:r>
              <w:drawing>
                <wp:inline xmlns:a="http://schemas.openxmlformats.org/drawingml/2006/main" xmlns:pic="http://schemas.openxmlformats.org/drawingml/2006/picture">
                  <wp:extent cx="1783080" cy="571764"/>
                  <wp:docPr id="10" name="Picture 10"/>
                  <wp:cNvGraphicFramePr>
                    <a:graphicFrameLocks noChangeAspect="1"/>
                  </wp:cNvGraphicFramePr>
                  <a:graphic>
                    <a:graphicData uri="http://schemas.openxmlformats.org/drawingml/2006/picture">
                      <pic:pic>
                        <pic:nvPicPr>
                          <pic:cNvPr id="0" name="techwiz.png"/>
                          <pic:cNvPicPr/>
                        </pic:nvPicPr>
                        <pic:blipFill>
                          <a:blip r:embed="rId19"/>
                          <a:stretch>
                            <a:fillRect/>
                          </a:stretch>
                        </pic:blipFill>
                        <pic:spPr>
                          <a:xfrm>
                            <a:off x="0" y="0"/>
                            <a:ext cx="1783080" cy="571764"/>
                          </a:xfrm>
                          <a:prstGeom prst="rect"/>
                        </pic:spPr>
                      </pic:pic>
                    </a:graphicData>
                  </a:graphic>
                </wp:inline>
              </w:drawing>
            </w:r>
          </w:p>
        </w:tc>
        <w:tc>
          <w:tcPr>
            <w:tcW w:type="dxa" w:w="4464"/>
          </w:tcPr>
          <w:p>
            <w:pPr>
              <w:jc w:val="center"/>
            </w:pPr>
            <w:r>
              <w:drawing>
                <wp:inline xmlns:a="http://schemas.openxmlformats.org/drawingml/2006/main" xmlns:pic="http://schemas.openxmlformats.org/drawingml/2006/picture">
                  <wp:extent cx="1325880" cy="882380"/>
                  <wp:docPr id="11" name="Picture 11"/>
                  <wp:cNvGraphicFramePr>
                    <a:graphicFrameLocks noChangeAspect="1"/>
                  </wp:cNvGraphicFramePr>
                  <a:graphic>
                    <a:graphicData uri="http://schemas.openxmlformats.org/drawingml/2006/picture">
                      <pic:pic>
                        <pic:nvPicPr>
                          <pic:cNvPr id="0" name="aptech.png"/>
                          <pic:cNvPicPr/>
                        </pic:nvPicPr>
                        <pic:blipFill>
                          <a:blip r:embed="rId20"/>
                          <a:stretch>
                            <a:fillRect/>
                          </a:stretch>
                        </pic:blipFill>
                        <pic:spPr>
                          <a:xfrm>
                            <a:off x="0" y="0"/>
                            <a:ext cx="1325880" cy="882380"/>
                          </a:xfrm>
                          <a:prstGeom prst="rect"/>
                        </pic:spPr>
                      </pic:pic>
                    </a:graphicData>
                  </a:graphic>
                </wp:inline>
              </w:drawing>
            </w:r>
          </w:p>
        </w:tc>
      </w:tr>
    </w:tbl>
    <w:p>
      <w:pPr>
        <w:pStyle w:val="Title"/>
        <w:spacing w:before="480"/>
      </w:pPr>
      <w:r>
        <w:rPr>
          <w:rFonts w:ascii="Aptos Display" w:hAnsi="Aptos Display"/>
          <w:b/>
          <w:color w:val="000000"/>
          <w:sz w:val="64"/>
        </w:rPr>
        <w:t>SonicSentinel AI</w:t>
      </w:r>
    </w:p>
    <w:p>
      <w:r>
        <w:rPr>
          <w:color w:val="4B5B68"/>
          <w:sz w:val="36"/>
        </w:rPr>
        <w:t>Project Documentation</w:t>
      </w:r>
    </w:p>
    <w:p>
      <w:pPr>
        <w:pStyle w:val="Subtitle"/>
      </w:pPr>
      <w:r>
        <w:t>Acoustic event detection for audio monitoring</w:t>
      </w:r>
    </w:p>
    <w:p>
      <w:r>
        <w:t>Mentor: Sir Hamza Ali</w:t>
        <w:br/>
        <w:t>Team leader: Moiz Jan</w:t>
        <w:br/>
        <w:t>Team members: Sarim Owais, Ibad, Muhammad Hamza, Zarwasham Lodhi, and Alishba</w:t>
      </w:r>
    </w:p>
    <w:p>
      <w:r>
        <w:t>Project report aligned to the SonicSentinel AI Software Requirements Specification, Version 1.0</w:t>
      </w:r>
    </w:p>
    <w:p>
      <w:r>
        <w:t>September 2026</w:t>
      </w:r>
    </w:p>
    <w:p/>
    <w:p>
      <w:r>
        <w:rPr>
          <w:b/>
          <w:sz w:val="24"/>
        </w:rPr>
        <w:t>Project status at a glance</w:t>
      </w:r>
    </w:p>
    <w:p>
      <w:r>
        <w:t>The application supports uploaded audio and live microphone monitoring, stores events in SQLite, and compares a Python prediction with a browser model. Saved evaluation evidence is mixed. The YAMNet transfer experiment clears the SRS model targets on its segment-level test, while the default XGBoost model and the Teachable Machine model do not clear all targets. This report distinguishes those results and their limits.</w:t>
      </w:r>
    </w:p>
    <w:p>
      <w:r>
        <w:br w:type="page"/>
      </w:r>
    </w:p>
    <w:p>
      <w:pPr>
        <w:pStyle w:val="Heading1"/>
      </w:pPr>
      <w:r>
        <w:t>Contents</w:t>
      </w:r>
    </w:p>
    <w:p>
      <w:pPr>
        <w:pStyle w:val="ListBullet"/>
      </w:pPr>
      <w:r>
        <w:t>1 Project Overview</w:t>
      </w:r>
    </w:p>
    <w:p>
      <w:pPr>
        <w:pStyle w:val="ListBullet"/>
      </w:pPr>
      <w:r>
        <w:t>2 Scope and Requirements</w:t>
      </w:r>
    </w:p>
    <w:p>
      <w:pPr>
        <w:pStyle w:val="ListBullet"/>
      </w:pPr>
      <w:r>
        <w:t>3 Application Design</w:t>
      </w:r>
    </w:p>
    <w:p>
      <w:pPr>
        <w:pStyle w:val="ListBullet"/>
      </w:pPr>
      <w:r>
        <w:t>4 Dataset and Audio Processing</w:t>
      </w:r>
    </w:p>
    <w:p>
      <w:pPr>
        <w:pStyle w:val="ListBullet"/>
      </w:pPr>
      <w:r>
        <w:t>5 Python Model Development</w:t>
      </w:r>
    </w:p>
    <w:p>
      <w:pPr>
        <w:pStyle w:val="ListBullet"/>
      </w:pPr>
      <w:r>
        <w:t>6 Browser Model and Comparison</w:t>
      </w:r>
    </w:p>
    <w:p>
      <w:pPr>
        <w:pStyle w:val="ListBullet"/>
      </w:pPr>
      <w:r>
        <w:t>7 Alerts and Manual Review</w:t>
      </w:r>
    </w:p>
    <w:p>
      <w:pPr>
        <w:pStyle w:val="ListBullet"/>
      </w:pPr>
      <w:r>
        <w:t>8 Web Application and Data</w:t>
      </w:r>
    </w:p>
    <w:p>
      <w:pPr>
        <w:pStyle w:val="ListBullet"/>
      </w:pPr>
      <w:r>
        <w:t>9 Evaluation Results</w:t>
      </w:r>
    </w:p>
    <w:p>
      <w:pPr>
        <w:pStyle w:val="Heading3"/>
      </w:pPr>
      <w:r>
        <w:t>Confusion Matrices for the Current Model Pair</w:t>
      </w:r>
    </w:p>
    <w:p>
      <w:pPr>
        <w:keepNext/>
        <w:jc w:val="center"/>
      </w:pPr>
      <w:r>
        <w:drawing>
          <wp:inline xmlns:a="http://schemas.openxmlformats.org/drawingml/2006/main" xmlns:pic="http://schemas.openxmlformats.org/drawingml/2006/picture">
            <wp:extent cx="5532120" cy="6247480"/>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532120" cy="6247480"/>
                    </a:xfrm>
                    <a:prstGeom prst="rect"/>
                  </pic:spPr>
                </pic:pic>
              </a:graphicData>
            </a:graphic>
          </wp:inline>
        </w:drawing>
      </w:r>
    </w:p>
    <w:p>
      <w:pPr>
        <w:pStyle w:val="Caption"/>
        <w:spacing w:after="180"/>
        <w:jc w:val="center"/>
      </w:pPr>
      <w:r>
        <w:rPr>
          <w:i/>
          <w:color w:val="525E68"/>
          <w:sz w:val="17"/>
        </w:rPr>
        <w:t>Figure 7. XGBoost results on the 445-clip test split. Rows are actual classes, columns are predictions, and shading shows each row share.</w:t>
      </w:r>
    </w:p>
    <w:p>
      <w:pPr>
        <w:keepNext/>
        <w:jc w:val="center"/>
      </w:pPr>
      <w:r>
        <w:drawing>
          <wp:inline xmlns:a="http://schemas.openxmlformats.org/drawingml/2006/main" xmlns:pic="http://schemas.openxmlformats.org/drawingml/2006/picture">
            <wp:extent cx="5532120" cy="6247480"/>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532120" cy="6247480"/>
                    </a:xfrm>
                    <a:prstGeom prst="rect"/>
                  </pic:spPr>
                </pic:pic>
              </a:graphicData>
            </a:graphic>
          </wp:inline>
        </w:drawing>
      </w:r>
    </w:p>
    <w:p>
      <w:pPr>
        <w:pStyle w:val="Caption"/>
        <w:spacing w:after="180"/>
        <w:jc w:val="center"/>
      </w:pPr>
      <w:r>
        <w:rPr>
          <w:i/>
          <w:color w:val="525E68"/>
          <w:sz w:val="17"/>
        </w:rPr>
        <w:t>Figure 8. Teachable Machine results on the same 445-clip test split. Rows are actual classes, columns are predictions, and shading shows each row share.</w:t>
      </w:r>
    </w:p>
    <w:p>
      <w:pPr>
        <w:pStyle w:val="ListBullet"/>
      </w:pPr>
      <w:r>
        <w:t>10 Security Privacy and Responsible Use</w:t>
      </w:r>
    </w:p>
    <w:p>
      <w:pPr>
        <w:pStyle w:val="ListBullet"/>
      </w:pPr>
      <w:r>
        <w:t>11 Limitations and Improvements</w:t>
      </w:r>
    </w:p>
    <w:p>
      <w:pPr>
        <w:pStyle w:val="Heading2"/>
      </w:pPr>
      <w:r>
        <w:t>11.1 Data limitations</w:t>
      </w:r>
    </w:p>
    <w:p>
      <w:pPr/>
      <w:r>
        <w:t>The dataset contains 3,000 original clips and is close to balanced overall, but the group-based split is not perfectly even. The saved folders contain 2,096 training clips, 459 validation clips, and 445 test clips. The Person Asking for Help class has different support across splits, which affects how stable its measured recall is.</w:t>
      </w:r>
    </w:p>
    <w:p>
      <w:pPr/>
      <w:r>
        <w:t>The saved Teachable Machine predictions show especially weak recall for Background Noise (4.4%) and Machinery Fault (8.9%). Many examples from these classes were predicted as Gunshot or Vehicle Horn. The earlier draft reports that the browser model was trained with about 100 one-second samples per class. If that account is accurate, the model saw only a small portion of the 3,000-clip collection, limiting the range of speakers, devices, settings, and sound variation available during training. The repository does not provide complete source, device, distance, and environment metadata for every recording, so coverage of those conditions cannot be confirmed.</w:t>
      </w:r>
    </w:p>
    <w:p>
      <w:pPr>
        <w:pStyle w:val="Heading2"/>
      </w:pPr>
      <w:r>
        <w:t>11.2 Model limitations</w:t>
      </w:r>
    </w:p>
    <w:p>
      <w:pPr/>
      <w:r>
        <w:t>The configured XGBoost model reaches 74.83% accuracy and 0.7455 macro F1. Its test matrix shows 12 of 45 Gunshot clips were missed, most often as Background Noise, Glass Breaking, or Machinery Fault. Background Noise recall is 48.9%. These errors show that short, broadband events and quiet or noisy recordings are difficult to separate with the current features and training examples.</w:t>
      </w:r>
    </w:p>
    <w:p>
      <w:pPr/>
      <w:r>
        <w:t>The integrated Teachable Machine model reaches 35.96% accuracy and 0.3421 macro F1, well below the SRS targets. Its confusion matrix shows broad class confusion, especially for Background Noise and Machinery Fault. The separate browser CNN experiment scores better, but it also misses the SRS overall targets and is not the current browser integration. YAMNet transfer clears the saved numeric targets on a segment-level evaluation, but those results use 451 segments from 445 recordings and cannot be compared directly with clip-level results.</w:t>
      </w:r>
    </w:p>
    <w:p>
      <w:pPr>
        <w:pStyle w:val="Heading2"/>
      </w:pPr>
      <w:r>
        <w:t>11.3 System limitations</w:t>
      </w:r>
    </w:p>
    <w:p>
      <w:pPr/>
      <w:r>
        <w:t>The application uses fixed three-second segments. A short event near a segment boundary may be split, and longer context may help distinguish similar sounds. Audio quality checks and configurable rules reduce some uncertainty, but they cannot identify every overlapping or unfamiliar sound. The tool has no speaker identification or speech transcription, and it does not contact emergency services.</w:t>
      </w:r>
    </w:p>
    <w:p>
      <w:pPr/>
      <w:r>
        <w:t>The project has not been benchmarked against the SRS targets for upload latency, live response time, 20,000 stored events, concurrent users, or 99% availability. The current SQLite and local-file setup is suitable for a prototype, but the repository does not demonstrate those scale and uptime targets.</w:t>
      </w:r>
    </w:p>
    <w:p>
      <w:pPr>
        <w:pStyle w:val="Heading2"/>
      </w:pPr>
      <w:r>
        <w:t>11.4 Ways to improve</w:t>
      </w:r>
    </w:p>
    <w:p>
      <w:pPr>
        <w:pStyle w:val="ListBullet"/>
      </w:pPr>
      <w:r>
        <w:t>Collect more consented and licensed recordings across devices, distances, rooms, outdoor settings, background noise, overlapping sounds, and speakers. Record that source metadata for each clip.</w:t>
      </w:r>
    </w:p>
    <w:p>
      <w:pPr>
        <w:pStyle w:val="ListBullet"/>
      </w:pPr>
      <w:r>
        <w:t>Use the full training split for both classifiers where supported. Add training-only augmentation and targeted examples for the classes with the lowest recall, especially Background Noise, Machinery Fault, and Gunshot.</w:t>
      </w:r>
    </w:p>
    <w:p>
      <w:pPr>
        <w:pStyle w:val="ListBullet"/>
      </w:pPr>
      <w:r>
        <w:t>Keep validation and test recordings unseen, then compare both models on the same original clips at the recording level. Report class-wise precision, recall, F1, false positives, and false negatives.</w:t>
      </w:r>
    </w:p>
    <w:p>
      <w:pPr>
        <w:pStyle w:val="ListBullet"/>
      </w:pPr>
      <w:r>
        <w:t>Tune window length and overlapping-window aggregation for transient and speech events. Calibrate confidence thresholds using validation data and retain manual review for uncertain or conflicting results.</w:t>
      </w:r>
    </w:p>
    <w:p>
      <w:pPr>
        <w:pStyle w:val="ListBullet"/>
      </w:pPr>
      <w:r>
        <w:t>Benchmark latency, database growth, concurrent access, retention, and recovery on the target machine before claiming the SRS performance, capacity, or availability targets.</w:t>
      </w:r>
    </w:p>
    <w:p>
      <w:pPr>
        <w:pStyle w:val="ListBullet"/>
      </w:pPr>
      <w:r>
        <w:t>12 Running the Project</w:t>
      </w:r>
    </w:p>
    <w:p>
      <w:pPr>
        <w:pStyle w:val="ListBullet"/>
      </w:pPr>
      <w:r>
        <w:t>Appendix A Project Structure</w:t>
      </w:r>
    </w:p>
    <w:p>
      <w:pPr>
        <w:pStyle w:val="ListBullet"/>
      </w:pPr>
      <w:r>
        <w:t>Appendix B Requirements Status</w:t>
      </w:r>
    </w:p>
    <w:p>
      <w:pPr>
        <w:spacing w:before="200"/>
        <w:jc w:val="center"/>
      </w:pPr>
      <w:r>
        <w:drawing>
          <wp:inline xmlns:a="http://schemas.openxmlformats.org/drawingml/2006/main" xmlns:pic="http://schemas.openxmlformats.org/drawingml/2006/picture">
            <wp:extent cx="5532120" cy="1968745"/>
            <wp:docPr id="12" name="Picture 12"/>
            <wp:cNvGraphicFramePr>
              <a:graphicFrameLocks noChangeAspect="1"/>
            </wp:cNvGraphicFramePr>
            <a:graphic>
              <a:graphicData uri="http://schemas.openxmlformats.org/drawingml/2006/picture">
                <pic:pic>
                  <pic:nvPicPr>
                    <pic:cNvPr id="0" name="example_spectrograms.png"/>
                    <pic:cNvPicPr/>
                  </pic:nvPicPr>
                  <pic:blipFill>
                    <a:blip r:embed="rId21"/>
                    <a:stretch>
                      <a:fillRect/>
                    </a:stretch>
                  </pic:blipFill>
                  <pic:spPr>
                    <a:xfrm>
                      <a:off x="0" y="0"/>
                      <a:ext cx="5532120" cy="1968745"/>
                    </a:xfrm>
                    <a:prstGeom prst="rect"/>
                  </pic:spPr>
                </pic:pic>
              </a:graphicData>
            </a:graphic>
          </wp:inline>
        </w:drawing>
      </w:r>
    </w:p>
    <w:p>
      <w:pPr>
        <w:pStyle w:val="Caption"/>
        <w:spacing w:after="0"/>
        <w:jc w:val="center"/>
      </w:pPr>
      <w:r>
        <w:rPr>
          <w:i/>
          <w:color w:val="525E68"/>
          <w:sz w:val="17"/>
        </w:rPr>
        <w:t>Examples of log-mel spectrograms across the ten sound classes.</w:t>
      </w:r>
    </w:p>
    <w:p>
      <w:r>
        <w:br w:type="page"/>
      </w:r>
    </w:p>
    <w:p>
      <w:pPr>
        <w:pStyle w:val="Heading1"/>
      </w:pPr>
      <w:r>
        <w:t>1 Project Overview</w:t>
      </w:r>
    </w:p>
    <w:p>
      <w:r>
        <w:t>SonicSentinel AI is a Flask web application for classifying sound events from uploaded recordings and live microphone input. It covers ten required sound classes and presents predictions, audio quality information, alerts, review decisions, and event history in a browser interface.</w:t>
      </w:r>
    </w:p>
    <w:p>
      <w:pPr>
        <w:jc w:val="center"/>
      </w:pPr>
      <w:r>
        <w:drawing>
          <wp:inline xmlns:a="http://schemas.openxmlformats.org/drawingml/2006/main" xmlns:pic="http://schemas.openxmlformats.org/drawingml/2006/picture">
            <wp:extent cx="2240280" cy="2240280"/>
            <wp:docPr id="9" name="Picture 9"/>
            <wp:cNvGraphicFramePr>
              <a:graphicFrameLocks noChangeAspect="1"/>
            </wp:cNvGraphicFramePr>
            <a:graphic>
              <a:graphicData uri="http://schemas.openxmlformats.org/drawingml/2006/picture">
                <pic:pic>
                  <pic:nvPicPr>
                    <pic:cNvPr id="0" name="p3_img1_Image38.jpg"/>
                    <pic:cNvPicPr/>
                  </pic:nvPicPr>
                  <pic:blipFill>
                    <a:blip r:embed="rId18"/>
                    <a:stretch>
                      <a:fillRect/>
                    </a:stretch>
                  </pic:blipFill>
                  <pic:spPr>
                    <a:xfrm>
                      <a:off x="0" y="0"/>
                      <a:ext cx="2240280" cy="2240280"/>
                    </a:xfrm>
                    <a:prstGeom prst="rect"/>
                  </pic:spPr>
                </pic:pic>
              </a:graphicData>
            </a:graphic>
          </wp:inline>
        </w:drawing>
      </w:r>
    </w:p>
    <w:p>
      <w:pPr>
        <w:pStyle w:val="Caption"/>
        <w:spacing w:after="160"/>
        <w:jc w:val="center"/>
      </w:pPr>
      <w:r>
        <w:rPr>
          <w:i/>
          <w:color w:val="525E68"/>
          <w:sz w:val="17"/>
        </w:rPr>
        <w:t>Acoustic monitoring illustration from the supplied rough documentation PDF.</w:t>
      </w:r>
    </w:p>
    <w:p>
      <w:r>
        <w:t>For each event, the Python server model produces class scores. The browser can independently run a Google Teachable Machine model and return its own scores. The application compares the results and applies configurable rules to decide whether to log an event, raise an alert, or send it for human review. The Python prediction is not sent to the browser model.</w:t>
      </w:r>
    </w:p>
    <w:p>
      <w:r>
        <w:t>This is a competition prototype for controlled and ethical testing. It is not a certified emergency response or law enforcement system. Operators must verify serious events and follow their site procedures.</w:t>
      </w:r>
    </w:p>
    <w:p>
      <w:pPr>
        <w:pStyle w:val="Heading2"/>
      </w:pPr>
      <w:r>
        <w:t>1.1 Problem and purpose</w:t>
      </w:r>
    </w:p>
    <w:p>
      <w:r>
        <w:t>People can miss sounds when they monitor recordings continuously, and video cameras cannot cover every sound source. The project helps a person notice relevant acoustic events sooner by classifying audio and organizing results for review. Its purpose is to support human monitoring, not to replace it.</w:t>
      </w:r>
    </w:p>
    <w:p>
      <w:pPr>
        <w:pStyle w:val="Heading2"/>
      </w:pPr>
      <w:r>
        <w:t>1.3 Operating requirements</w:t>
      </w:r>
    </w:p>
    <w:p>
      <w:r>
        <w:t>The SRS names a target computer with an Intel Core i5 or i7 processor, 8 or 16 GB of memory, and 500 GB of storage. It calls for a browser-based interface, Python backend, audio libraries, a database, machine-learning tools, and version control. The project uses Flask, SQLite, Python audio and machine-learning packages, JavaScript, and TensorFlow.js. The saved project does not include a benchmark proving the stated performance or availability targets.</w:t>
      </w:r>
    </w:p>
    <w:p>
      <w:pPr>
        <w:pStyle w:val="Heading2"/>
      </w:pPr>
      <w:r>
        <w:t>1.2 Supported sound classes</w:t>
      </w:r>
    </w:p>
    <w:tbl>
      <w:tblPr>
        <w:tblStyle w:val="LightShading-Accent1"/>
        <w:tblW w:type="auto" w:w="0"/>
        <w:jc w:val="center"/>
        <w:tblLook w:firstColumn="1" w:firstRow="1" w:lastColumn="0" w:lastRow="0" w:noHBand="0" w:noVBand="1" w:val="04A0"/>
      </w:tblPr>
      <w:tblGrid>
        <w:gridCol w:w="3312"/>
        <w:gridCol w:w="3312"/>
        <w:gridCol w:w="3312"/>
      </w:tblGrid>
      <w:tr>
        <w:trPr>
          <w:cantSplit/>
        </w:trPr>
        <w:tc>
          <w:tcPr>
            <w:tcW w:type="dxa" w:w="3168"/>
            <w:vAlign w:val="center"/>
            <w:shd w:fill="24577A"/>
          </w:tcPr>
          <w:p>
            <w:pPr>
              <w:spacing w:after="20" w:before="20"/>
            </w:pPr>
            <w:r/>
            <w:r>
              <w:rPr>
                <w:rFonts w:ascii="Aptos" w:hAnsi="Aptos"/>
                <w:b/>
                <w:color w:val="FFFFFF"/>
                <w:sz w:val="17"/>
              </w:rPr>
              <w:t>Sound class</w:t>
            </w:r>
          </w:p>
        </w:tc>
        <w:tc>
          <w:tcPr>
            <w:tcW w:type="dxa" w:w="3168"/>
            <w:vAlign w:val="center"/>
            <w:shd w:fill="24577A"/>
          </w:tcPr>
          <w:p>
            <w:pPr>
              <w:spacing w:after="20" w:before="20"/>
            </w:pPr>
            <w:r/>
            <w:r>
              <w:rPr>
                <w:rFonts w:ascii="Aptos" w:hAnsi="Aptos"/>
                <w:b/>
                <w:color w:val="FFFFFF"/>
                <w:sz w:val="17"/>
              </w:rPr>
              <w:t>Sound class</w:t>
            </w:r>
          </w:p>
        </w:tc>
        <w:tc>
          <w:tcPr>
            <w:tcW w:type="dxa" w:w="3168"/>
            <w:vAlign w:val="center"/>
            <w:shd w:fill="24577A"/>
          </w:tcPr>
          <w:p>
            <w:pPr>
              <w:spacing w:after="20" w:before="20"/>
            </w:pPr>
            <w:r/>
            <w:r>
              <w:rPr>
                <w:rFonts w:ascii="Aptos" w:hAnsi="Aptos"/>
                <w:b/>
                <w:color w:val="FFFFFF"/>
                <w:sz w:val="17"/>
              </w:rPr>
              <w:t>Sound class</w:t>
            </w:r>
          </w:p>
        </w:tc>
      </w:tr>
      <w:tr>
        <w:trPr>
          <w:cantSplit/>
        </w:trPr>
        <w:tc>
          <w:tcPr>
            <w:tcW w:type="dxa" w:w="3168"/>
            <w:vAlign w:val="center"/>
          </w:tcPr>
          <w:p>
            <w:pPr>
              <w:spacing w:after="20" w:before="20"/>
            </w:pPr>
            <w:r/>
            <w:r>
              <w:rPr>
                <w:rFonts w:ascii="Aptos" w:hAnsi="Aptos"/>
                <w:b w:val="0"/>
                <w:sz w:val="17"/>
              </w:rPr>
              <w:t>Machinery Fault</w:t>
            </w:r>
          </w:p>
        </w:tc>
        <w:tc>
          <w:tcPr>
            <w:tcW w:type="dxa" w:w="3168"/>
            <w:vAlign w:val="center"/>
          </w:tcPr>
          <w:p>
            <w:pPr>
              <w:spacing w:after="20" w:before="20"/>
            </w:pPr>
            <w:r/>
            <w:r>
              <w:rPr>
                <w:rFonts w:ascii="Aptos" w:hAnsi="Aptos"/>
                <w:b w:val="0"/>
                <w:sz w:val="17"/>
              </w:rPr>
              <w:t>Glass Breaking</w:t>
            </w:r>
          </w:p>
        </w:tc>
        <w:tc>
          <w:tcPr>
            <w:tcW w:type="dxa" w:w="3168"/>
            <w:vAlign w:val="center"/>
          </w:tcPr>
          <w:p>
            <w:pPr>
              <w:spacing w:after="20" w:before="20"/>
            </w:pPr>
            <w:r/>
            <w:r>
              <w:rPr>
                <w:rFonts w:ascii="Aptos" w:hAnsi="Aptos"/>
                <w:b w:val="0"/>
                <w:sz w:val="17"/>
              </w:rPr>
              <w:t>Alarm or Siren</w:t>
            </w:r>
          </w:p>
        </w:tc>
      </w:tr>
      <w:tr>
        <w:trPr>
          <w:cantSplit/>
        </w:trPr>
        <w:tc>
          <w:tcPr>
            <w:tcW w:type="dxa" w:w="3168"/>
            <w:vAlign w:val="center"/>
          </w:tcPr>
          <w:p>
            <w:pPr>
              <w:spacing w:after="20" w:before="20"/>
            </w:pPr>
            <w:r/>
            <w:r>
              <w:rPr>
                <w:rFonts w:ascii="Aptos" w:hAnsi="Aptos"/>
                <w:b w:val="0"/>
                <w:sz w:val="17"/>
              </w:rPr>
              <w:t>Vehicle Horn</w:t>
            </w:r>
          </w:p>
        </w:tc>
        <w:tc>
          <w:tcPr>
            <w:tcW w:type="dxa" w:w="3168"/>
            <w:vAlign w:val="center"/>
          </w:tcPr>
          <w:p>
            <w:pPr>
              <w:spacing w:after="20" w:before="20"/>
            </w:pPr>
            <w:r/>
            <w:r>
              <w:rPr>
                <w:rFonts w:ascii="Aptos" w:hAnsi="Aptos"/>
                <w:b w:val="0"/>
                <w:sz w:val="17"/>
              </w:rPr>
              <w:t>Animal Sound</w:t>
            </w:r>
          </w:p>
        </w:tc>
        <w:tc>
          <w:tcPr>
            <w:tcW w:type="dxa" w:w="3168"/>
            <w:vAlign w:val="center"/>
          </w:tcPr>
          <w:p>
            <w:pPr>
              <w:spacing w:after="20" w:before="20"/>
            </w:pPr>
            <w:r/>
            <w:r>
              <w:rPr>
                <w:rFonts w:ascii="Aptos" w:hAnsi="Aptos"/>
                <w:b w:val="0"/>
                <w:sz w:val="17"/>
              </w:rPr>
              <w:t>Gunshot</w:t>
            </w:r>
          </w:p>
        </w:tc>
      </w:tr>
      <w:tr>
        <w:trPr>
          <w:cantSplit/>
        </w:trPr>
        <w:tc>
          <w:tcPr>
            <w:tcW w:type="dxa" w:w="3168"/>
            <w:vAlign w:val="center"/>
          </w:tcPr>
          <w:p>
            <w:pPr>
              <w:spacing w:after="20" w:before="20"/>
            </w:pPr>
            <w:r/>
            <w:r>
              <w:rPr>
                <w:rFonts w:ascii="Aptos" w:hAnsi="Aptos"/>
                <w:b w:val="0"/>
                <w:sz w:val="17"/>
              </w:rPr>
              <w:t>Panic Scream</w:t>
            </w:r>
          </w:p>
        </w:tc>
        <w:tc>
          <w:tcPr>
            <w:tcW w:type="dxa" w:w="3168"/>
            <w:vAlign w:val="center"/>
          </w:tcPr>
          <w:p>
            <w:pPr>
              <w:spacing w:after="20" w:before="20"/>
            </w:pPr>
            <w:r/>
            <w:r>
              <w:rPr>
                <w:rFonts w:ascii="Aptos" w:hAnsi="Aptos"/>
                <w:b w:val="0"/>
                <w:sz w:val="17"/>
              </w:rPr>
              <w:t>Aggression</w:t>
            </w:r>
          </w:p>
        </w:tc>
        <w:tc>
          <w:tcPr>
            <w:tcW w:type="dxa" w:w="3168"/>
            <w:vAlign w:val="center"/>
          </w:tcPr>
          <w:p>
            <w:pPr>
              <w:spacing w:after="20" w:before="20"/>
            </w:pPr>
            <w:r/>
            <w:r>
              <w:rPr>
                <w:rFonts w:ascii="Aptos" w:hAnsi="Aptos"/>
                <w:b w:val="0"/>
                <w:sz w:val="17"/>
              </w:rPr>
              <w:t>Person Asking for Help</w:t>
            </w:r>
          </w:p>
        </w:tc>
      </w:tr>
      <w:tr>
        <w:trPr>
          <w:cantSplit/>
        </w:trPr>
        <w:tc>
          <w:tcPr>
            <w:tcW w:type="dxa" w:w="3168"/>
            <w:vAlign w:val="center"/>
          </w:tcPr>
          <w:p>
            <w:pPr>
              <w:spacing w:after="20" w:before="20"/>
            </w:pPr>
            <w:r/>
            <w:r>
              <w:rPr>
                <w:rFonts w:ascii="Aptos" w:hAnsi="Aptos"/>
                <w:b w:val="0"/>
                <w:sz w:val="17"/>
              </w:rPr>
              <w:t>Background Noise</w:t>
            </w:r>
          </w:p>
        </w:tc>
        <w:tc>
          <w:tcPr>
            <w:tcW w:type="dxa" w:w="3168"/>
            <w:vAlign w:val="center"/>
          </w:tcPr>
          <w:p>
            <w:pPr>
              <w:spacing w:after="20" w:before="20"/>
            </w:pPr>
            <w:r/>
            <w:r>
              <w:rPr>
                <w:rFonts w:ascii="Aptos" w:hAnsi="Aptos"/>
                <w:b w:val="0"/>
                <w:sz w:val="17"/>
              </w:rPr>
            </w:r>
          </w:p>
        </w:tc>
        <w:tc>
          <w:tcPr>
            <w:tcW w:type="dxa" w:w="3168"/>
            <w:vAlign w:val="center"/>
          </w:tcPr>
          <w:p>
            <w:pPr>
              <w:spacing w:after="20" w:before="20"/>
            </w:pPr>
            <w:r/>
            <w:r>
              <w:rPr>
                <w:rFonts w:ascii="Aptos" w:hAnsi="Aptos"/>
                <w:b w:val="0"/>
                <w:sz w:val="17"/>
              </w:rPr>
            </w:r>
          </w:p>
        </w:tc>
      </w:tr>
    </w:tbl>
    <w:p>
      <w:pPr>
        <w:spacing w:after="0"/>
      </w:pPr>
    </w:p>
    <w:p>
      <w:r>
        <w:t>The alert rules identify Gunshot, Glass Breaking, Panic Scream, Aggression, and Person Asking for Help as critical classes. Severity and response depend on configured rule conditions and event context.</w:t>
      </w:r>
    </w:p>
    <w:p>
      <w:pPr>
        <w:pStyle w:val="Heading1"/>
      </w:pPr>
      <w:r>
        <w:t>2 Scope and Requirements</w:t>
      </w:r>
    </w:p>
    <w:p>
      <w:pPr>
        <w:pStyle w:val="Heading2"/>
      </w:pPr>
      <w:r>
        <w:t>2.1 Project scope</w:t>
      </w:r>
    </w:p>
    <w:p>
      <w:r>
        <w:t>The application accepts audio, validates and prepares it, runs classification, evaluates audio quality, compares model results, applies alert rules, and stores event history. It provides pages for upload, live monitoring, event search, alerts, manual review, reports, and administration.</w:t>
      </w:r>
    </w:p>
    <w:p>
      <w:r>
        <w:t>Speaker identification, speech transcription, multi-site orchestration, and certified emergency dispatch are outside the current scope. The project focuses on sound category detection.</w:t>
      </w:r>
    </w:p>
    <w:p>
      <w:pPr>
        <w:pStyle w:val="Heading2"/>
      </w:pPr>
      <w:r>
        <w:t>2.2 Main assumptions</w:t>
      </w:r>
    </w:p>
    <w:p>
      <w:pPr>
        <w:pStyle w:val="ListBullet"/>
      </w:pPr>
      <w:r>
        <w:t>The server can decode a supported audio file and access the local SQLite database.</w:t>
      </w:r>
    </w:p>
    <w:p>
      <w:pPr>
        <w:pStyle w:val="ListBullet"/>
      </w:pPr>
      <w:r>
        <w:t>The browser supports microphone capture and can load the TensorFlow.js model.</w:t>
      </w:r>
    </w:p>
    <w:p>
      <w:pPr>
        <w:pStyle w:val="ListBullet"/>
      </w:pPr>
      <w:r>
        <w:t>The exported browser labels match the canonical class order used by the application.</w:t>
      </w:r>
    </w:p>
    <w:p>
      <w:pPr>
        <w:pStyle w:val="ListBullet"/>
      </w:pPr>
      <w:r>
        <w:t>Training, validation, and testing recordings remain separated by original recording and, for speech classes, by speaker where file metadata supports grouping.</w:t>
      </w:r>
    </w:p>
    <w:p>
      <w:pPr>
        <w:pStyle w:val="Heading2"/>
      </w:pPr>
      <w:r>
        <w:t>2.3 Key requirements from the SRS</w:t>
      </w:r>
    </w:p>
    <w:tbl>
      <w:tblPr>
        <w:tblStyle w:val="LightShading-Accent1"/>
        <w:tblW w:type="auto" w:w="0"/>
        <w:jc w:val="center"/>
        <w:tblLook w:firstColumn="1" w:firstRow="1" w:lastColumn="0" w:lastRow="0" w:noHBand="0" w:noVBand="1" w:val="04A0"/>
      </w:tblPr>
      <w:tblGrid>
        <w:gridCol w:w="4968"/>
        <w:gridCol w:w="4968"/>
      </w:tblGrid>
      <w:tr>
        <w:trPr>
          <w:cantSplit/>
        </w:trPr>
        <w:tc>
          <w:tcPr>
            <w:tcW w:type="dxa" w:w="1800"/>
            <w:vAlign w:val="center"/>
            <w:shd w:fill="24577A"/>
          </w:tcPr>
          <w:p>
            <w:pPr>
              <w:spacing w:after="20" w:before="20"/>
            </w:pPr>
            <w:r/>
            <w:r>
              <w:rPr>
                <w:rFonts w:ascii="Aptos" w:hAnsi="Aptos"/>
                <w:b/>
                <w:color w:val="FFFFFF"/>
                <w:sz w:val="17"/>
              </w:rPr>
              <w:t>Area</w:t>
            </w:r>
          </w:p>
        </w:tc>
        <w:tc>
          <w:tcPr>
            <w:tcW w:type="dxa" w:w="7704"/>
            <w:vAlign w:val="center"/>
            <w:shd w:fill="24577A"/>
          </w:tcPr>
          <w:p>
            <w:pPr>
              <w:spacing w:after="20" w:before="20"/>
            </w:pPr>
            <w:r/>
            <w:r>
              <w:rPr>
                <w:rFonts w:ascii="Aptos" w:hAnsi="Aptos"/>
                <w:b/>
                <w:color w:val="FFFFFF"/>
                <w:sz w:val="17"/>
              </w:rPr>
              <w:t>Requirement summary</w:t>
            </w:r>
          </w:p>
        </w:tc>
      </w:tr>
      <w:tr>
        <w:trPr>
          <w:cantSplit/>
        </w:trPr>
        <w:tc>
          <w:tcPr>
            <w:tcW w:type="dxa" w:w="1800"/>
            <w:vAlign w:val="center"/>
          </w:tcPr>
          <w:p>
            <w:pPr>
              <w:spacing w:after="20" w:before="20"/>
            </w:pPr>
            <w:r/>
            <w:r>
              <w:rPr>
                <w:rFonts w:ascii="Aptos" w:hAnsi="Aptos"/>
                <w:b w:val="0"/>
                <w:sz w:val="17"/>
              </w:rPr>
              <w:t>Input</w:t>
            </w:r>
          </w:p>
        </w:tc>
        <w:tc>
          <w:tcPr>
            <w:tcW w:type="dxa" w:w="7704"/>
            <w:vAlign w:val="center"/>
          </w:tcPr>
          <w:p>
            <w:pPr>
              <w:spacing w:after="20" w:before="20"/>
            </w:pPr>
            <w:r/>
            <w:r>
              <w:rPr>
                <w:rFonts w:ascii="Aptos" w:hAnsi="Aptos"/>
                <w:b w:val="0"/>
                <w:sz w:val="17"/>
              </w:rPr>
              <w:t>Upload supported audio files and capture live microphone audio with permission.</w:t>
            </w:r>
          </w:p>
        </w:tc>
      </w:tr>
      <w:tr>
        <w:trPr>
          <w:cantSplit/>
        </w:trPr>
        <w:tc>
          <w:tcPr>
            <w:tcW w:type="dxa" w:w="1800"/>
            <w:vAlign w:val="center"/>
          </w:tcPr>
          <w:p>
            <w:pPr>
              <w:spacing w:after="20" w:before="20"/>
            </w:pPr>
            <w:r/>
            <w:r>
              <w:rPr>
                <w:rFonts w:ascii="Aptos" w:hAnsi="Aptos"/>
                <w:b w:val="0"/>
                <w:sz w:val="17"/>
              </w:rPr>
              <w:t>Processing</w:t>
            </w:r>
          </w:p>
        </w:tc>
        <w:tc>
          <w:tcPr>
            <w:tcW w:type="dxa" w:w="7704"/>
            <w:vAlign w:val="center"/>
          </w:tcPr>
          <w:p>
            <w:pPr>
              <w:spacing w:after="20" w:before="20"/>
            </w:pPr>
            <w:r/>
            <w:r>
              <w:rPr>
                <w:rFonts w:ascii="Aptos" w:hAnsi="Aptos"/>
                <w:b w:val="0"/>
                <w:sz w:val="17"/>
              </w:rPr>
              <w:t>Validate files, extract metadata, convert to mono 16 kHz audio, and segment long recordings.</w:t>
            </w:r>
          </w:p>
        </w:tc>
      </w:tr>
      <w:tr>
        <w:trPr>
          <w:cantSplit/>
        </w:trPr>
        <w:tc>
          <w:tcPr>
            <w:tcW w:type="dxa" w:w="1800"/>
            <w:vAlign w:val="center"/>
          </w:tcPr>
          <w:p>
            <w:pPr>
              <w:spacing w:after="20" w:before="20"/>
            </w:pPr>
            <w:r/>
            <w:r>
              <w:rPr>
                <w:rFonts w:ascii="Aptos" w:hAnsi="Aptos"/>
                <w:b w:val="0"/>
                <w:sz w:val="17"/>
              </w:rPr>
              <w:t>Models</w:t>
            </w:r>
          </w:p>
        </w:tc>
        <w:tc>
          <w:tcPr>
            <w:tcW w:type="dxa" w:w="7704"/>
            <w:vAlign w:val="center"/>
          </w:tcPr>
          <w:p>
            <w:pPr>
              <w:spacing w:after="20" w:before="20"/>
            </w:pPr>
            <w:r/>
            <w:r>
              <w:rPr>
                <w:rFonts w:ascii="Aptos" w:hAnsi="Aptos"/>
                <w:b w:val="0"/>
                <w:sz w:val="17"/>
              </w:rPr>
              <w:t>Train and compare at least three Python classifiers, and use an independent Google Teachable Machine classifier.</w:t>
            </w:r>
          </w:p>
        </w:tc>
      </w:tr>
      <w:tr>
        <w:trPr>
          <w:cantSplit/>
        </w:trPr>
        <w:tc>
          <w:tcPr>
            <w:tcW w:type="dxa" w:w="1800"/>
            <w:vAlign w:val="center"/>
          </w:tcPr>
          <w:p>
            <w:pPr>
              <w:spacing w:after="20" w:before="20"/>
            </w:pPr>
            <w:r/>
            <w:r>
              <w:rPr>
                <w:rFonts w:ascii="Aptos" w:hAnsi="Aptos"/>
                <w:b w:val="0"/>
                <w:sz w:val="17"/>
              </w:rPr>
              <w:t>Decision</w:t>
            </w:r>
          </w:p>
        </w:tc>
        <w:tc>
          <w:tcPr>
            <w:tcW w:type="dxa" w:w="7704"/>
            <w:vAlign w:val="center"/>
          </w:tcPr>
          <w:p>
            <w:pPr>
              <w:spacing w:after="20" w:before="20"/>
            </w:pPr>
            <w:r/>
            <w:r>
              <w:rPr>
                <w:rFonts w:ascii="Aptos" w:hAnsi="Aptos"/>
                <w:b w:val="0"/>
                <w:sz w:val="17"/>
              </w:rPr>
              <w:t>Compare class predictions and scores, evaluate quality, apply alert rules, and route uncertain events for review.</w:t>
            </w:r>
          </w:p>
        </w:tc>
      </w:tr>
      <w:tr>
        <w:trPr>
          <w:cantSplit/>
        </w:trPr>
        <w:tc>
          <w:tcPr>
            <w:tcW w:type="dxa" w:w="1800"/>
            <w:vAlign w:val="center"/>
          </w:tcPr>
          <w:p>
            <w:pPr>
              <w:spacing w:after="20" w:before="20"/>
            </w:pPr>
            <w:r/>
            <w:r>
              <w:rPr>
                <w:rFonts w:ascii="Aptos" w:hAnsi="Aptos"/>
                <w:b w:val="0"/>
                <w:sz w:val="17"/>
              </w:rPr>
              <w:t>Records</w:t>
            </w:r>
          </w:p>
        </w:tc>
        <w:tc>
          <w:tcPr>
            <w:tcW w:type="dxa" w:w="7704"/>
            <w:vAlign w:val="center"/>
          </w:tcPr>
          <w:p>
            <w:pPr>
              <w:spacing w:after="20" w:before="20"/>
            </w:pPr>
            <w:r/>
            <w:r>
              <w:rPr>
                <w:rFonts w:ascii="Aptos" w:hAnsi="Aptos"/>
                <w:b w:val="0"/>
                <w:sz w:val="17"/>
              </w:rPr>
              <w:t>Store audio metadata, scores, model versions, alerts, review decisions, and audit activity.</w:t>
            </w:r>
          </w:p>
        </w:tc>
      </w:tr>
      <w:tr>
        <w:trPr>
          <w:cantSplit/>
        </w:trPr>
        <w:tc>
          <w:tcPr>
            <w:tcW w:type="dxa" w:w="1800"/>
            <w:vAlign w:val="center"/>
          </w:tcPr>
          <w:p>
            <w:pPr>
              <w:spacing w:after="20" w:before="20"/>
            </w:pPr>
            <w:r/>
            <w:r>
              <w:rPr>
                <w:rFonts w:ascii="Aptos" w:hAnsi="Aptos"/>
                <w:b w:val="0"/>
                <w:sz w:val="17"/>
              </w:rPr>
              <w:t>Reporting</w:t>
            </w:r>
          </w:p>
        </w:tc>
        <w:tc>
          <w:tcPr>
            <w:tcW w:type="dxa" w:w="7704"/>
            <w:vAlign w:val="center"/>
          </w:tcPr>
          <w:p>
            <w:pPr>
              <w:spacing w:after="20" w:before="20"/>
            </w:pPr>
            <w:r/>
            <w:r>
              <w:rPr>
                <w:rFonts w:ascii="Aptos" w:hAnsi="Aptos"/>
                <w:b w:val="0"/>
                <w:sz w:val="17"/>
              </w:rPr>
              <w:t>Provide event search, dashboards, model metrics, and exportable records.</w:t>
            </w:r>
          </w:p>
        </w:tc>
      </w:tr>
      <w:tr>
        <w:trPr>
          <w:cantSplit/>
        </w:trPr>
        <w:tc>
          <w:tcPr>
            <w:tcW w:type="dxa" w:w="1800"/>
            <w:vAlign w:val="center"/>
          </w:tcPr>
          <w:p>
            <w:pPr>
              <w:spacing w:after="20" w:before="20"/>
            </w:pPr>
            <w:r/>
            <w:r>
              <w:rPr>
                <w:rFonts w:ascii="Aptos" w:hAnsi="Aptos"/>
                <w:b w:val="0"/>
                <w:sz w:val="17"/>
              </w:rPr>
              <w:t>Targets</w:t>
            </w:r>
          </w:p>
        </w:tc>
        <w:tc>
          <w:tcPr>
            <w:tcW w:type="dxa" w:w="7704"/>
            <w:vAlign w:val="center"/>
          </w:tcPr>
          <w:p>
            <w:pPr>
              <w:spacing w:after="20" w:before="20"/>
            </w:pPr>
            <w:r/>
            <w:r>
              <w:rPr>
                <w:rFonts w:ascii="Aptos" w:hAnsi="Aptos"/>
                <w:b w:val="0"/>
                <w:sz w:val="17"/>
              </w:rPr>
              <w:t>Both models target at least 85% accuracy, 0.80 macro F1, and 85% recall for each SRS critical class.</w:t>
            </w:r>
          </w:p>
        </w:tc>
      </w:tr>
    </w:tbl>
    <w:p>
      <w:pPr>
        <w:spacing w:after="0"/>
      </w:pPr>
    </w:p>
    <w:p>
      <w:r>
        <w:t>The last row is a target from the SRS, not a claim that the current models have met it. The measured results and gaps appear in Section 9.</w:t>
      </w:r>
    </w:p>
    <w:p>
      <w:pPr>
        <w:pStyle w:val="Heading1"/>
      </w:pPr>
      <w:r>
        <w:t>3 Application Design</w:t>
      </w:r>
    </w:p>
    <w:p>
      <w:r>
        <w:t>A user uploads a recording or grants microphone access. The Flask server validates the audio, preprocesses it, and creates detection records from fixed three-second segments. The Python model predicts from server-side features. The browser model independently evaluates the audio and sends its scores to the server after the detection record exists.</w:t>
      </w:r>
    </w:p>
    <w:p>
      <w:pPr>
        <w:jc w:val="center"/>
      </w:pPr>
      <w:r>
        <w:drawing>
          <wp:inline xmlns:a="http://schemas.openxmlformats.org/drawingml/2006/main" xmlns:pic="http://schemas.openxmlformats.org/drawingml/2006/picture">
            <wp:extent cx="6126480" cy="306324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126480" cy="3063240"/>
                    </a:xfrm>
                    <a:prstGeom prst="rect"/>
                  </pic:spPr>
                </pic:pic>
              </a:graphicData>
            </a:graphic>
          </wp:inline>
        </w:drawing>
      </w:r>
    </w:p>
    <w:p>
      <w:pPr>
        <w:pStyle w:val="Caption"/>
        <w:spacing w:after="160"/>
        <w:jc w:val="center"/>
      </w:pPr>
      <w:r>
        <w:rPr>
          <w:i/>
          <w:color w:val="525E68"/>
          <w:sz w:val="17"/>
        </w:rPr>
        <w:t>Figure 1. Application architecture based on the current source code.</w:t>
      </w:r>
    </w:p>
    <w:p>
      <w:pPr>
        <w:pStyle w:val="Heading2"/>
      </w:pPr>
      <w:r>
        <w:t>3.1 Processing sequence</w:t>
      </w:r>
    </w:p>
    <w:p>
      <w:pPr>
        <w:pStyle w:val="ListNumber"/>
      </w:pPr>
      <w:r>
        <w:t>The user selects a file or starts microphone monitoring.</w:t>
      </w:r>
    </w:p>
    <w:p>
      <w:pPr>
        <w:pStyle w:val="ListNumber"/>
      </w:pPr>
      <w:r>
        <w:t>The application checks the file and extracts its audio metadata.</w:t>
      </w:r>
    </w:p>
    <w:p>
      <w:pPr>
        <w:pStyle w:val="ListNumber"/>
      </w:pPr>
      <w:r>
        <w:t>Audio is converted to mono, resampled to 16 kHz, and divided into three-second segments.</w:t>
      </w:r>
    </w:p>
    <w:p>
      <w:pPr>
        <w:pStyle w:val="ListNumber"/>
      </w:pPr>
      <w:r>
        <w:t>The Python model returns scores for the ten classes.</w:t>
      </w:r>
    </w:p>
    <w:p>
      <w:pPr>
        <w:pStyle w:val="ListNumber"/>
      </w:pPr>
      <w:r>
        <w:t>The browser model may return a separate score vector for the same audio.</w:t>
      </w:r>
    </w:p>
    <w:p>
      <w:pPr>
        <w:pStyle w:val="ListNumber"/>
      </w:pPr>
      <w:r>
        <w:t>The comparison and rule modules calculate agreement, quality, severity, alert status, and review reasons.</w:t>
      </w:r>
    </w:p>
    <w:p>
      <w:pPr>
        <w:pStyle w:val="ListNumber"/>
      </w:pPr>
      <w:r>
        <w:t>The event, model outputs, and related actions are stored for later review and reporting.</w:t>
      </w:r>
    </w:p>
    <w:p>
      <w:pPr>
        <w:pStyle w:val="Heading2"/>
      </w:pPr>
      <w:r>
        <w:t>3.2 Main software modules</w:t>
      </w:r>
    </w:p>
    <w:tbl>
      <w:tblPr>
        <w:tblStyle w:val="LightShading-Accent1"/>
        <w:tblW w:type="auto" w:w="0"/>
        <w:jc w:val="center"/>
        <w:tblLook w:firstColumn="1" w:firstRow="1" w:lastColumn="0" w:lastRow="0" w:noHBand="0" w:noVBand="1" w:val="04A0"/>
      </w:tblPr>
      <w:tblGrid>
        <w:gridCol w:w="4968"/>
        <w:gridCol w:w="4968"/>
      </w:tblGrid>
      <w:tr>
        <w:trPr>
          <w:cantSplit/>
        </w:trPr>
        <w:tc>
          <w:tcPr>
            <w:tcW w:type="dxa" w:w="2304"/>
            <w:vAlign w:val="center"/>
            <w:shd w:fill="24577A"/>
          </w:tcPr>
          <w:p>
            <w:pPr>
              <w:spacing w:after="20" w:before="20"/>
            </w:pPr>
            <w:r/>
            <w:r>
              <w:rPr>
                <w:rFonts w:ascii="Aptos" w:hAnsi="Aptos"/>
                <w:b/>
                <w:color w:val="FFFFFF"/>
                <w:sz w:val="17"/>
              </w:rPr>
              <w:t>Project area</w:t>
            </w:r>
          </w:p>
        </w:tc>
        <w:tc>
          <w:tcPr>
            <w:tcW w:type="dxa" w:w="7200"/>
            <w:vAlign w:val="center"/>
            <w:shd w:fill="24577A"/>
          </w:tcPr>
          <w:p>
            <w:pPr>
              <w:spacing w:after="20" w:before="20"/>
            </w:pPr>
            <w:r/>
            <w:r>
              <w:rPr>
                <w:rFonts w:ascii="Aptos" w:hAnsi="Aptos"/>
                <w:b/>
                <w:color w:val="FFFFFF"/>
                <w:sz w:val="17"/>
              </w:rPr>
              <w:t>Purpose</w:t>
            </w:r>
          </w:p>
        </w:tc>
      </w:tr>
      <w:tr>
        <w:trPr>
          <w:cantSplit/>
        </w:trPr>
        <w:tc>
          <w:tcPr>
            <w:tcW w:type="dxa" w:w="2304"/>
            <w:vAlign w:val="center"/>
          </w:tcPr>
          <w:p>
            <w:pPr>
              <w:spacing w:after="20" w:before="20"/>
            </w:pPr>
            <w:r/>
            <w:r>
              <w:rPr>
                <w:rFonts w:ascii="Aptos" w:hAnsi="Aptos"/>
                <w:b w:val="0"/>
                <w:sz w:val="17"/>
              </w:rPr>
              <w:t>app.py</w:t>
            </w:r>
          </w:p>
        </w:tc>
        <w:tc>
          <w:tcPr>
            <w:tcW w:type="dxa" w:w="7200"/>
            <w:vAlign w:val="center"/>
          </w:tcPr>
          <w:p>
            <w:pPr>
              <w:spacing w:after="20" w:before="20"/>
            </w:pPr>
            <w:r/>
            <w:r>
              <w:rPr>
                <w:rFonts w:ascii="Aptos" w:hAnsi="Aptos"/>
                <w:b w:val="0"/>
                <w:sz w:val="17"/>
              </w:rPr>
              <w:t>Flask routes, authentication flow, pages, uploads, and API endpoints.</w:t>
            </w:r>
          </w:p>
        </w:tc>
      </w:tr>
      <w:tr>
        <w:trPr>
          <w:cantSplit/>
        </w:trPr>
        <w:tc>
          <w:tcPr>
            <w:tcW w:type="dxa" w:w="2304"/>
            <w:vAlign w:val="center"/>
          </w:tcPr>
          <w:p>
            <w:pPr>
              <w:spacing w:after="20" w:before="20"/>
            </w:pPr>
            <w:r/>
            <w:r>
              <w:rPr>
                <w:rFonts w:ascii="Aptos" w:hAnsi="Aptos"/>
                <w:b w:val="0"/>
                <w:sz w:val="17"/>
              </w:rPr>
              <w:t>audio_preprocessing</w:t>
            </w:r>
          </w:p>
        </w:tc>
        <w:tc>
          <w:tcPr>
            <w:tcW w:type="dxa" w:w="7200"/>
            <w:vAlign w:val="center"/>
          </w:tcPr>
          <w:p>
            <w:pPr>
              <w:spacing w:after="20" w:before="20"/>
            </w:pPr>
            <w:r/>
            <w:r>
              <w:rPr>
                <w:rFonts w:ascii="Aptos" w:hAnsi="Aptos"/>
                <w:b w:val="0"/>
                <w:sz w:val="17"/>
              </w:rPr>
              <w:t>Audio validation, decoding, resampling, channel conversion, and segmentation.</w:t>
            </w:r>
          </w:p>
        </w:tc>
      </w:tr>
      <w:tr>
        <w:trPr>
          <w:cantSplit/>
        </w:trPr>
        <w:tc>
          <w:tcPr>
            <w:tcW w:type="dxa" w:w="2304"/>
            <w:vAlign w:val="center"/>
          </w:tcPr>
          <w:p>
            <w:pPr>
              <w:spacing w:after="20" w:before="20"/>
            </w:pPr>
            <w:r/>
            <w:r>
              <w:rPr>
                <w:rFonts w:ascii="Aptos" w:hAnsi="Aptos"/>
                <w:b w:val="0"/>
                <w:sz w:val="17"/>
              </w:rPr>
              <w:t>feature_extraction</w:t>
            </w:r>
          </w:p>
        </w:tc>
        <w:tc>
          <w:tcPr>
            <w:tcW w:type="dxa" w:w="7200"/>
            <w:vAlign w:val="center"/>
          </w:tcPr>
          <w:p>
            <w:pPr>
              <w:spacing w:after="20" w:before="20"/>
            </w:pPr>
            <w:r/>
            <w:r>
              <w:rPr>
                <w:rFonts w:ascii="Aptos" w:hAnsi="Aptos"/>
                <w:b w:val="0"/>
                <w:sz w:val="17"/>
              </w:rPr>
              <w:t>Summary features, spectrograms, and YAMNet embeddings.</w:t>
            </w:r>
          </w:p>
        </w:tc>
      </w:tr>
      <w:tr>
        <w:trPr>
          <w:cantSplit/>
        </w:trPr>
        <w:tc>
          <w:tcPr>
            <w:tcW w:type="dxa" w:w="2304"/>
            <w:vAlign w:val="center"/>
          </w:tcPr>
          <w:p>
            <w:pPr>
              <w:spacing w:after="20" w:before="20"/>
            </w:pPr>
            <w:r/>
            <w:r>
              <w:rPr>
                <w:rFonts w:ascii="Aptos" w:hAnsi="Aptos"/>
                <w:b w:val="0"/>
                <w:sz w:val="17"/>
              </w:rPr>
              <w:t>src</w:t>
            </w:r>
          </w:p>
        </w:tc>
        <w:tc>
          <w:tcPr>
            <w:tcW w:type="dxa" w:w="7200"/>
            <w:vAlign w:val="center"/>
          </w:tcPr>
          <w:p>
            <w:pPr>
              <w:spacing w:after="20" w:before="20"/>
            </w:pPr>
            <w:r/>
            <w:r>
              <w:rPr>
                <w:rFonts w:ascii="Aptos" w:hAnsi="Aptos"/>
                <w:b w:val="0"/>
                <w:sz w:val="17"/>
              </w:rPr>
              <w:t>Prediction analysis, model loading, comparison, quality, decision rules, reporting, and plots.</w:t>
            </w:r>
          </w:p>
        </w:tc>
      </w:tr>
      <w:tr>
        <w:trPr>
          <w:cantSplit/>
        </w:trPr>
        <w:tc>
          <w:tcPr>
            <w:tcW w:type="dxa" w:w="2304"/>
            <w:vAlign w:val="center"/>
          </w:tcPr>
          <w:p>
            <w:pPr>
              <w:spacing w:after="20" w:before="20"/>
            </w:pPr>
            <w:r/>
            <w:r>
              <w:rPr>
                <w:rFonts w:ascii="Aptos" w:hAnsi="Aptos"/>
                <w:b w:val="0"/>
                <w:sz w:val="17"/>
              </w:rPr>
              <w:t>static/js</w:t>
            </w:r>
          </w:p>
        </w:tc>
        <w:tc>
          <w:tcPr>
            <w:tcW w:type="dxa" w:w="7200"/>
            <w:vAlign w:val="center"/>
          </w:tcPr>
          <w:p>
            <w:pPr>
              <w:spacing w:after="20" w:before="20"/>
            </w:pPr>
            <w:r/>
            <w:r>
              <w:rPr>
                <w:rFonts w:ascii="Aptos" w:hAnsi="Aptos"/>
                <w:b w:val="0"/>
                <w:sz w:val="17"/>
              </w:rPr>
              <w:t>Browser-side model loading, audio capture, and prediction submission.</w:t>
            </w:r>
          </w:p>
        </w:tc>
      </w:tr>
      <w:tr>
        <w:trPr>
          <w:cantSplit/>
        </w:trPr>
        <w:tc>
          <w:tcPr>
            <w:tcW w:type="dxa" w:w="2304"/>
            <w:vAlign w:val="center"/>
          </w:tcPr>
          <w:p>
            <w:pPr>
              <w:spacing w:after="20" w:before="20"/>
            </w:pPr>
            <w:r/>
            <w:r>
              <w:rPr>
                <w:rFonts w:ascii="Aptos" w:hAnsi="Aptos"/>
                <w:b w:val="0"/>
                <w:sz w:val="17"/>
              </w:rPr>
              <w:t>database</w:t>
            </w:r>
          </w:p>
        </w:tc>
        <w:tc>
          <w:tcPr>
            <w:tcW w:type="dxa" w:w="7200"/>
            <w:vAlign w:val="center"/>
          </w:tcPr>
          <w:p>
            <w:pPr>
              <w:spacing w:after="20" w:before="20"/>
            </w:pPr>
            <w:r/>
            <w:r>
              <w:rPr>
                <w:rFonts w:ascii="Aptos" w:hAnsi="Aptos"/>
                <w:b w:val="0"/>
                <w:sz w:val="17"/>
              </w:rPr>
              <w:t>SQLite schema and queries for users, events, alerts, reviews, settings, and audit records.</w:t>
            </w:r>
          </w:p>
        </w:tc>
      </w:tr>
      <w:tr>
        <w:trPr>
          <w:cantSplit/>
        </w:trPr>
        <w:tc>
          <w:tcPr>
            <w:tcW w:type="dxa" w:w="2304"/>
            <w:vAlign w:val="center"/>
          </w:tcPr>
          <w:p>
            <w:pPr>
              <w:spacing w:after="20" w:before="20"/>
            </w:pPr>
            <w:r/>
            <w:r>
              <w:rPr>
                <w:rFonts w:ascii="Aptos" w:hAnsi="Aptos"/>
                <w:b w:val="0"/>
                <w:sz w:val="17"/>
              </w:rPr>
              <w:t>templates</w:t>
            </w:r>
          </w:p>
        </w:tc>
        <w:tc>
          <w:tcPr>
            <w:tcW w:type="dxa" w:w="7200"/>
            <w:vAlign w:val="center"/>
          </w:tcPr>
          <w:p>
            <w:pPr>
              <w:spacing w:after="20" w:before="20"/>
            </w:pPr>
            <w:r/>
            <w:r>
              <w:rPr>
                <w:rFonts w:ascii="Aptos" w:hAnsi="Aptos"/>
                <w:b w:val="0"/>
                <w:sz w:val="17"/>
              </w:rPr>
              <w:t>Pages for the dashboard, live monitoring, history, alerts, review, reports, and administration.</w:t>
            </w:r>
          </w:p>
        </w:tc>
      </w:tr>
    </w:tbl>
    <w:p>
      <w:pPr>
        <w:spacing w:after="0"/>
      </w:pPr>
    </w:p>
    <w:p>
      <w:pPr>
        <w:pStyle w:val="Heading1"/>
      </w:pPr>
      <w:r>
        <w:t>4 Dataset and Audio Processing</w:t>
      </w:r>
    </w:p>
    <w:p>
      <w:pPr>
        <w:pStyle w:val="Heading2"/>
      </w:pPr>
      <w:r>
        <w:t>4.1 Dataset</w:t>
      </w:r>
    </w:p>
    <w:p>
      <w:r>
        <w:t>The project contains 3,000 original recordings across the ten required classes. The saved split contains 2,096 training recordings, 459 validation recordings, and 445 testing recordings. The split is group-aware so derived segments stay with their source recording. These counts differ slightly from the SRS 70/15/15 example because grouping and class counts affect the final split.</w:t>
      </w:r>
    </w:p>
    <w:tbl>
      <w:tblPr>
        <w:tblStyle w:val="LightShading-Accent1"/>
        <w:tblW w:type="auto" w:w="0"/>
        <w:jc w:val="center"/>
        <w:tblLook w:firstColumn="1" w:firstRow="1" w:lastColumn="0" w:lastRow="0" w:noHBand="0" w:noVBand="1" w:val="04A0"/>
      </w:tblPr>
      <w:tblGrid>
        <w:gridCol w:w="3312"/>
        <w:gridCol w:w="3312"/>
        <w:gridCol w:w="3312"/>
      </w:tblGrid>
      <w:tr>
        <w:trPr>
          <w:cantSplit/>
        </w:trPr>
        <w:tc>
          <w:tcPr>
            <w:tcW w:type="dxa" w:w="1800"/>
            <w:vAlign w:val="center"/>
            <w:shd w:fill="24577A"/>
          </w:tcPr>
          <w:p>
            <w:pPr>
              <w:spacing w:after="20" w:before="20"/>
            </w:pPr>
            <w:r/>
            <w:r>
              <w:rPr>
                <w:rFonts w:ascii="Aptos" w:hAnsi="Aptos"/>
                <w:b/>
                <w:color w:val="FFFFFF"/>
                <w:sz w:val="17"/>
              </w:rPr>
              <w:t>Split</w:t>
            </w:r>
          </w:p>
        </w:tc>
        <w:tc>
          <w:tcPr>
            <w:tcW w:type="dxa" w:w="2232"/>
            <w:vAlign w:val="center"/>
            <w:shd w:fill="24577A"/>
          </w:tcPr>
          <w:p>
            <w:pPr>
              <w:spacing w:after="20" w:before="20"/>
            </w:pPr>
            <w:r/>
            <w:r>
              <w:rPr>
                <w:rFonts w:ascii="Aptos" w:hAnsi="Aptos"/>
                <w:b/>
                <w:color w:val="FFFFFF"/>
                <w:sz w:val="17"/>
              </w:rPr>
              <w:t>Original recordings</w:t>
            </w:r>
          </w:p>
        </w:tc>
        <w:tc>
          <w:tcPr>
            <w:tcW w:type="dxa" w:w="5472"/>
            <w:vAlign w:val="center"/>
            <w:shd w:fill="24577A"/>
          </w:tcPr>
          <w:p>
            <w:pPr>
              <w:spacing w:after="20" w:before="20"/>
            </w:pPr>
            <w:r/>
            <w:r>
              <w:rPr>
                <w:rFonts w:ascii="Aptos" w:hAnsi="Aptos"/>
                <w:b/>
                <w:color w:val="FFFFFF"/>
                <w:sz w:val="17"/>
              </w:rPr>
              <w:t>Use</w:t>
            </w:r>
          </w:p>
        </w:tc>
      </w:tr>
      <w:tr>
        <w:trPr>
          <w:cantSplit/>
        </w:trPr>
        <w:tc>
          <w:tcPr>
            <w:tcW w:type="dxa" w:w="1800"/>
            <w:vAlign w:val="center"/>
          </w:tcPr>
          <w:p>
            <w:pPr>
              <w:spacing w:after="20" w:before="20"/>
            </w:pPr>
            <w:r/>
            <w:r>
              <w:rPr>
                <w:rFonts w:ascii="Aptos" w:hAnsi="Aptos"/>
                <w:b w:val="0"/>
                <w:sz w:val="17"/>
              </w:rPr>
              <w:t>Training</w:t>
            </w:r>
          </w:p>
        </w:tc>
        <w:tc>
          <w:tcPr>
            <w:tcW w:type="dxa" w:w="2232"/>
            <w:vAlign w:val="center"/>
          </w:tcPr>
          <w:p>
            <w:pPr>
              <w:spacing w:after="20" w:before="20"/>
            </w:pPr>
            <w:r/>
            <w:r>
              <w:rPr>
                <w:rFonts w:ascii="Aptos" w:hAnsi="Aptos"/>
                <w:b w:val="0"/>
                <w:sz w:val="17"/>
              </w:rPr>
              <w:t>2,096</w:t>
            </w:r>
          </w:p>
        </w:tc>
        <w:tc>
          <w:tcPr>
            <w:tcW w:type="dxa" w:w="5472"/>
            <w:vAlign w:val="center"/>
          </w:tcPr>
          <w:p>
            <w:pPr>
              <w:spacing w:after="20" w:before="20"/>
            </w:pPr>
            <w:r/>
            <w:r>
              <w:rPr>
                <w:rFonts w:ascii="Aptos" w:hAnsi="Aptos"/>
                <w:b w:val="0"/>
                <w:sz w:val="17"/>
              </w:rPr>
              <w:t>Fit model parameters and training-only augmentation.</w:t>
            </w:r>
          </w:p>
        </w:tc>
      </w:tr>
      <w:tr>
        <w:trPr>
          <w:cantSplit/>
        </w:trPr>
        <w:tc>
          <w:tcPr>
            <w:tcW w:type="dxa" w:w="1800"/>
            <w:vAlign w:val="center"/>
          </w:tcPr>
          <w:p>
            <w:pPr>
              <w:spacing w:after="20" w:before="20"/>
            </w:pPr>
            <w:r/>
            <w:r>
              <w:rPr>
                <w:rFonts w:ascii="Aptos" w:hAnsi="Aptos"/>
                <w:b w:val="0"/>
                <w:sz w:val="17"/>
              </w:rPr>
              <w:t>Validation</w:t>
            </w:r>
          </w:p>
        </w:tc>
        <w:tc>
          <w:tcPr>
            <w:tcW w:type="dxa" w:w="2232"/>
            <w:vAlign w:val="center"/>
          </w:tcPr>
          <w:p>
            <w:pPr>
              <w:spacing w:after="20" w:before="20"/>
            </w:pPr>
            <w:r/>
            <w:r>
              <w:rPr>
                <w:rFonts w:ascii="Aptos" w:hAnsi="Aptos"/>
                <w:b w:val="0"/>
                <w:sz w:val="17"/>
              </w:rPr>
              <w:t>459</w:t>
            </w:r>
          </w:p>
        </w:tc>
        <w:tc>
          <w:tcPr>
            <w:tcW w:type="dxa" w:w="5472"/>
            <w:vAlign w:val="center"/>
          </w:tcPr>
          <w:p>
            <w:pPr>
              <w:spacing w:after="20" w:before="20"/>
            </w:pPr>
            <w:r/>
            <w:r>
              <w:rPr>
                <w:rFonts w:ascii="Aptos" w:hAnsi="Aptos"/>
                <w:b w:val="0"/>
                <w:sz w:val="17"/>
              </w:rPr>
              <w:t>Choose model settings and compare candidates.</w:t>
            </w:r>
          </w:p>
        </w:tc>
      </w:tr>
      <w:tr>
        <w:trPr>
          <w:cantSplit/>
        </w:trPr>
        <w:tc>
          <w:tcPr>
            <w:tcW w:type="dxa" w:w="1800"/>
            <w:vAlign w:val="center"/>
          </w:tcPr>
          <w:p>
            <w:pPr>
              <w:spacing w:after="20" w:before="20"/>
            </w:pPr>
            <w:r/>
            <w:r>
              <w:rPr>
                <w:rFonts w:ascii="Aptos" w:hAnsi="Aptos"/>
                <w:b w:val="0"/>
                <w:sz w:val="17"/>
              </w:rPr>
              <w:t>Testing</w:t>
            </w:r>
          </w:p>
        </w:tc>
        <w:tc>
          <w:tcPr>
            <w:tcW w:type="dxa" w:w="2232"/>
            <w:vAlign w:val="center"/>
          </w:tcPr>
          <w:p>
            <w:pPr>
              <w:spacing w:after="20" w:before="20"/>
            </w:pPr>
            <w:r/>
            <w:r>
              <w:rPr>
                <w:rFonts w:ascii="Aptos" w:hAnsi="Aptos"/>
                <w:b w:val="0"/>
                <w:sz w:val="17"/>
              </w:rPr>
              <w:t>445</w:t>
            </w:r>
          </w:p>
        </w:tc>
        <w:tc>
          <w:tcPr>
            <w:tcW w:type="dxa" w:w="5472"/>
            <w:vAlign w:val="center"/>
          </w:tcPr>
          <w:p>
            <w:pPr>
              <w:spacing w:after="20" w:before="20"/>
            </w:pPr>
            <w:r/>
            <w:r>
              <w:rPr>
                <w:rFonts w:ascii="Aptos" w:hAnsi="Aptos"/>
                <w:b w:val="0"/>
                <w:sz w:val="17"/>
              </w:rPr>
              <w:t>Final held-out evaluation.</w:t>
            </w:r>
          </w:p>
        </w:tc>
      </w:tr>
    </w:tbl>
    <w:p>
      <w:pPr>
        <w:spacing w:after="0"/>
      </w:pPr>
    </w:p>
    <w:p>
      <w:r>
        <w:t>The source project describes hash checks for exact duplicate files. Augmented audio is stored separately from original recordings and is not counted as additional unique source recordings. The dataset includes a raw folder and generated splits.</w:t>
      </w:r>
    </w:p>
    <w:p>
      <w:pPr>
        <w:pStyle w:val="Heading2"/>
      </w:pPr>
      <w:r>
        <w:t>4.2 Audio preparation</w:t>
      </w:r>
    </w:p>
    <w:p>
      <w:r>
        <w:t>Supported upload extensions are WAV, MP3, FLAC, OGG, and M4A. The application validates and decodes uploads, checks for usable audio, converts stereo audio to mono, resamples it to 16 kHz, normalizes it, trims silence, and divides it into three-second segments. Short segments are padded and long segments are cut to the configured size. Noise reduction is available in code but disabled by default because project configuration records a validation result where it reduced accuracy.</w:t>
      </w:r>
    </w:p>
    <w:p>
      <w:pPr>
        <w:pStyle w:val="Heading2"/>
      </w:pPr>
      <w:r>
        <w:t>4.3 Features</w:t>
      </w:r>
    </w:p>
    <w:p>
      <w:r>
        <w:t>The default XGBoost pipeline uses a 215-value summary feature vector. It includes MFCC and delta statistics, mel-band values, chroma, spectral contrast, and other measures of energy and spectral shape. A separate YAMNet transfer experiment uses pooled 1,024-value embeddings to form a 2,048-value representation. CNN training code also uses log-mel spectrograms. These are separate model paths and should not be described as one shared feature vector.</w:t>
      </w:r>
    </w:p>
    <w:p>
      <w:pPr>
        <w:pStyle w:val="Heading2"/>
      </w:pPr>
      <w:r>
        <w:t>4.4 Collection and augmentation</w:t>
      </w:r>
    </w:p>
    <w:p>
      <w:r>
        <w:t>The dataset pipeline supports organized class folders, split metadata, class-balance checks, and training-only augmentation. The README lists noise addition, time shifting, pitch shifting, time stretching, volume change, reverberation, distance simulation, and recording-device simulation. Augmented examples remain linked to the original split and are not counted as unique recordings. Check source and consent metadata before submission, especially for speech and safety-event clips.</w:t>
      </w:r>
    </w:p>
    <w:p>
      <w:pPr>
        <w:pStyle w:val="Heading1"/>
      </w:pPr>
      <w:r>
        <w:t>5 Python Model Development</w:t>
      </w:r>
    </w:p>
    <w:p>
      <w:r>
        <w:t>The training pipeline fits models on the training split and uses the validation split to select settings. Saved test results are available for Logistic Regression, Random Forest, SVM, XGBoost, and YAMNet transfer. This satisfies the SRS requirement to compare at least three Python models.</w:t>
      </w:r>
    </w:p>
    <w:tbl>
      <w:tblPr>
        <w:tblStyle w:val="LightShading-Accent1"/>
        <w:tblW w:type="auto" w:w="0"/>
        <w:jc w:val="center"/>
        <w:tblLook w:firstColumn="1" w:firstRow="1" w:lastColumn="0" w:lastRow="0" w:noHBand="0" w:noVBand="1" w:val="04A0"/>
      </w:tblPr>
      <w:tblGrid>
        <w:gridCol w:w="2484"/>
        <w:gridCol w:w="2484"/>
        <w:gridCol w:w="2484"/>
        <w:gridCol w:w="2484"/>
      </w:tblGrid>
      <w:tr>
        <w:trPr>
          <w:cantSplit/>
        </w:trPr>
        <w:tc>
          <w:tcPr>
            <w:tcW w:type="dxa" w:w="2304"/>
            <w:vAlign w:val="center"/>
            <w:shd w:fill="24577A"/>
          </w:tcPr>
          <w:p>
            <w:pPr>
              <w:spacing w:after="20" w:before="20"/>
            </w:pPr>
            <w:r/>
            <w:r>
              <w:rPr>
                <w:rFonts w:ascii="Aptos" w:hAnsi="Aptos"/>
                <w:b/>
                <w:color w:val="FFFFFF"/>
                <w:sz w:val="17"/>
              </w:rPr>
              <w:t>Model</w:t>
            </w:r>
          </w:p>
        </w:tc>
        <w:tc>
          <w:tcPr>
            <w:tcW w:type="dxa" w:w="1800"/>
            <w:vAlign w:val="center"/>
            <w:shd w:fill="24577A"/>
          </w:tcPr>
          <w:p>
            <w:pPr>
              <w:spacing w:after="20" w:before="20"/>
            </w:pPr>
            <w:r/>
            <w:r>
              <w:rPr>
                <w:rFonts w:ascii="Aptos" w:hAnsi="Aptos"/>
                <w:b/>
                <w:color w:val="FFFFFF"/>
                <w:sz w:val="17"/>
              </w:rPr>
              <w:t>Test accuracy</w:t>
            </w:r>
          </w:p>
        </w:tc>
        <w:tc>
          <w:tcPr>
            <w:tcW w:type="dxa" w:w="1800"/>
            <w:vAlign w:val="center"/>
            <w:shd w:fill="24577A"/>
          </w:tcPr>
          <w:p>
            <w:pPr>
              <w:spacing w:after="20" w:before="20"/>
            </w:pPr>
            <w:r/>
            <w:r>
              <w:rPr>
                <w:rFonts w:ascii="Aptos" w:hAnsi="Aptos"/>
                <w:b/>
                <w:color w:val="FFFFFF"/>
                <w:sz w:val="17"/>
              </w:rPr>
              <w:t>Test macro F1</w:t>
            </w:r>
          </w:p>
        </w:tc>
        <w:tc>
          <w:tcPr>
            <w:tcW w:type="dxa" w:w="3168"/>
            <w:vAlign w:val="center"/>
            <w:shd w:fill="24577A"/>
          </w:tcPr>
          <w:p>
            <w:pPr>
              <w:spacing w:after="20" w:before="20"/>
            </w:pPr>
            <w:r/>
            <w:r>
              <w:rPr>
                <w:rFonts w:ascii="Aptos" w:hAnsi="Aptos"/>
                <w:b/>
                <w:color w:val="FFFFFF"/>
                <w:sz w:val="17"/>
              </w:rPr>
              <w:t>Evaluation unit</w:t>
            </w:r>
          </w:p>
        </w:tc>
      </w:tr>
      <w:tr>
        <w:trPr>
          <w:cantSplit/>
        </w:trPr>
        <w:tc>
          <w:tcPr>
            <w:tcW w:type="dxa" w:w="2304"/>
            <w:vAlign w:val="center"/>
          </w:tcPr>
          <w:p>
            <w:pPr>
              <w:spacing w:after="20" w:before="20"/>
            </w:pPr>
            <w:r/>
            <w:r>
              <w:rPr>
                <w:rFonts w:ascii="Aptos" w:hAnsi="Aptos"/>
                <w:b w:val="0"/>
                <w:sz w:val="17"/>
              </w:rPr>
              <w:t>Logistic Regression</w:t>
            </w:r>
          </w:p>
        </w:tc>
        <w:tc>
          <w:tcPr>
            <w:tcW w:type="dxa" w:w="1800"/>
            <w:vAlign w:val="center"/>
          </w:tcPr>
          <w:p>
            <w:pPr>
              <w:spacing w:after="20" w:before="20"/>
            </w:pPr>
            <w:r/>
            <w:r>
              <w:rPr>
                <w:rFonts w:ascii="Aptos" w:hAnsi="Aptos"/>
                <w:b w:val="0"/>
                <w:sz w:val="17"/>
              </w:rPr>
              <w:t>68.09%</w:t>
            </w:r>
          </w:p>
        </w:tc>
        <w:tc>
          <w:tcPr>
            <w:tcW w:type="dxa" w:w="1800"/>
            <w:vAlign w:val="center"/>
          </w:tcPr>
          <w:p>
            <w:pPr>
              <w:spacing w:after="20" w:before="20"/>
            </w:pPr>
            <w:r/>
            <w:r>
              <w:rPr>
                <w:rFonts w:ascii="Aptos" w:hAnsi="Aptos"/>
                <w:b w:val="0"/>
                <w:sz w:val="17"/>
              </w:rPr>
              <w:t>0.6812</w:t>
            </w:r>
          </w:p>
        </w:tc>
        <w:tc>
          <w:tcPr>
            <w:tcW w:type="dxa" w:w="3168"/>
            <w:vAlign w:val="center"/>
          </w:tcPr>
          <w:p>
            <w:pPr>
              <w:spacing w:after="20" w:before="20"/>
            </w:pPr>
            <w:r/>
            <w:r>
              <w:rPr>
                <w:rFonts w:ascii="Aptos" w:hAnsi="Aptos"/>
                <w:b w:val="0"/>
                <w:sz w:val="17"/>
              </w:rPr>
              <w:t>Clip</w:t>
            </w:r>
          </w:p>
        </w:tc>
      </w:tr>
      <w:tr>
        <w:trPr>
          <w:cantSplit/>
        </w:trPr>
        <w:tc>
          <w:tcPr>
            <w:tcW w:type="dxa" w:w="2304"/>
            <w:vAlign w:val="center"/>
          </w:tcPr>
          <w:p>
            <w:pPr>
              <w:spacing w:after="20" w:before="20"/>
            </w:pPr>
            <w:r/>
            <w:r>
              <w:rPr>
                <w:rFonts w:ascii="Aptos" w:hAnsi="Aptos"/>
                <w:b w:val="0"/>
                <w:sz w:val="17"/>
              </w:rPr>
              <w:t>Random Forest</w:t>
            </w:r>
          </w:p>
        </w:tc>
        <w:tc>
          <w:tcPr>
            <w:tcW w:type="dxa" w:w="1800"/>
            <w:vAlign w:val="center"/>
          </w:tcPr>
          <w:p>
            <w:pPr>
              <w:spacing w:after="20" w:before="20"/>
            </w:pPr>
            <w:r/>
            <w:r>
              <w:rPr>
                <w:rFonts w:ascii="Aptos" w:hAnsi="Aptos"/>
                <w:b w:val="0"/>
                <w:sz w:val="17"/>
              </w:rPr>
              <w:t>69.44%</w:t>
            </w:r>
          </w:p>
        </w:tc>
        <w:tc>
          <w:tcPr>
            <w:tcW w:type="dxa" w:w="1800"/>
            <w:vAlign w:val="center"/>
          </w:tcPr>
          <w:p>
            <w:pPr>
              <w:spacing w:after="20" w:before="20"/>
            </w:pPr>
            <w:r/>
            <w:r>
              <w:rPr>
                <w:rFonts w:ascii="Aptos" w:hAnsi="Aptos"/>
                <w:b w:val="0"/>
                <w:sz w:val="17"/>
              </w:rPr>
              <w:t>0.6904</w:t>
            </w:r>
          </w:p>
        </w:tc>
        <w:tc>
          <w:tcPr>
            <w:tcW w:type="dxa" w:w="3168"/>
            <w:vAlign w:val="center"/>
          </w:tcPr>
          <w:p>
            <w:pPr>
              <w:spacing w:after="20" w:before="20"/>
            </w:pPr>
            <w:r/>
            <w:r>
              <w:rPr>
                <w:rFonts w:ascii="Aptos" w:hAnsi="Aptos"/>
                <w:b w:val="0"/>
                <w:sz w:val="17"/>
              </w:rPr>
              <w:t>Clip</w:t>
            </w:r>
          </w:p>
        </w:tc>
      </w:tr>
      <w:tr>
        <w:trPr>
          <w:cantSplit/>
        </w:trPr>
        <w:tc>
          <w:tcPr>
            <w:tcW w:type="dxa" w:w="2304"/>
            <w:vAlign w:val="center"/>
          </w:tcPr>
          <w:p>
            <w:pPr>
              <w:spacing w:after="20" w:before="20"/>
            </w:pPr>
            <w:r/>
            <w:r>
              <w:rPr>
                <w:rFonts w:ascii="Aptos" w:hAnsi="Aptos"/>
                <w:b w:val="0"/>
                <w:sz w:val="17"/>
              </w:rPr>
              <w:t>SVM</w:t>
            </w:r>
          </w:p>
        </w:tc>
        <w:tc>
          <w:tcPr>
            <w:tcW w:type="dxa" w:w="1800"/>
            <w:vAlign w:val="center"/>
          </w:tcPr>
          <w:p>
            <w:pPr>
              <w:spacing w:after="20" w:before="20"/>
            </w:pPr>
            <w:r/>
            <w:r>
              <w:rPr>
                <w:rFonts w:ascii="Aptos" w:hAnsi="Aptos"/>
                <w:b w:val="0"/>
                <w:sz w:val="17"/>
              </w:rPr>
              <w:t>74.38%</w:t>
            </w:r>
          </w:p>
        </w:tc>
        <w:tc>
          <w:tcPr>
            <w:tcW w:type="dxa" w:w="1800"/>
            <w:vAlign w:val="center"/>
          </w:tcPr>
          <w:p>
            <w:pPr>
              <w:spacing w:after="20" w:before="20"/>
            </w:pPr>
            <w:r/>
            <w:r>
              <w:rPr>
                <w:rFonts w:ascii="Aptos" w:hAnsi="Aptos"/>
                <w:b w:val="0"/>
                <w:sz w:val="17"/>
              </w:rPr>
              <w:t>0.7424</w:t>
            </w:r>
          </w:p>
        </w:tc>
        <w:tc>
          <w:tcPr>
            <w:tcW w:type="dxa" w:w="3168"/>
            <w:vAlign w:val="center"/>
          </w:tcPr>
          <w:p>
            <w:pPr>
              <w:spacing w:after="20" w:before="20"/>
            </w:pPr>
            <w:r/>
            <w:r>
              <w:rPr>
                <w:rFonts w:ascii="Aptos" w:hAnsi="Aptos"/>
                <w:b w:val="0"/>
                <w:sz w:val="17"/>
              </w:rPr>
              <w:t>Clip</w:t>
            </w:r>
          </w:p>
        </w:tc>
      </w:tr>
      <w:tr>
        <w:trPr>
          <w:cantSplit/>
        </w:trPr>
        <w:tc>
          <w:tcPr>
            <w:tcW w:type="dxa" w:w="2304"/>
            <w:vAlign w:val="center"/>
          </w:tcPr>
          <w:p>
            <w:pPr>
              <w:spacing w:after="20" w:before="20"/>
            </w:pPr>
            <w:r/>
            <w:r>
              <w:rPr>
                <w:rFonts w:ascii="Aptos" w:hAnsi="Aptos"/>
                <w:b w:val="0"/>
                <w:sz w:val="17"/>
              </w:rPr>
              <w:t>XGBoost</w:t>
            </w:r>
          </w:p>
        </w:tc>
        <w:tc>
          <w:tcPr>
            <w:tcW w:type="dxa" w:w="1800"/>
            <w:vAlign w:val="center"/>
          </w:tcPr>
          <w:p>
            <w:pPr>
              <w:spacing w:after="20" w:before="20"/>
            </w:pPr>
            <w:r/>
            <w:r>
              <w:rPr>
                <w:rFonts w:ascii="Aptos" w:hAnsi="Aptos"/>
                <w:b w:val="0"/>
                <w:sz w:val="17"/>
              </w:rPr>
              <w:t>74.83%</w:t>
            </w:r>
          </w:p>
        </w:tc>
        <w:tc>
          <w:tcPr>
            <w:tcW w:type="dxa" w:w="1800"/>
            <w:vAlign w:val="center"/>
          </w:tcPr>
          <w:p>
            <w:pPr>
              <w:spacing w:after="20" w:before="20"/>
            </w:pPr>
            <w:r/>
            <w:r>
              <w:rPr>
                <w:rFonts w:ascii="Aptos" w:hAnsi="Aptos"/>
                <w:b w:val="0"/>
                <w:sz w:val="17"/>
              </w:rPr>
              <w:t>0.7455</w:t>
            </w:r>
          </w:p>
        </w:tc>
        <w:tc>
          <w:tcPr>
            <w:tcW w:type="dxa" w:w="3168"/>
            <w:vAlign w:val="center"/>
          </w:tcPr>
          <w:p>
            <w:pPr>
              <w:spacing w:after="20" w:before="20"/>
            </w:pPr>
            <w:r/>
            <w:r>
              <w:rPr>
                <w:rFonts w:ascii="Aptos" w:hAnsi="Aptos"/>
                <w:b w:val="0"/>
                <w:sz w:val="17"/>
              </w:rPr>
              <w:t>Clip</w:t>
            </w:r>
          </w:p>
        </w:tc>
      </w:tr>
      <w:tr>
        <w:trPr>
          <w:cantSplit/>
        </w:trPr>
        <w:tc>
          <w:tcPr>
            <w:tcW w:type="dxa" w:w="2304"/>
            <w:vAlign w:val="center"/>
          </w:tcPr>
          <w:p>
            <w:pPr>
              <w:spacing w:after="20" w:before="20"/>
            </w:pPr>
            <w:r/>
            <w:r>
              <w:rPr>
                <w:rFonts w:ascii="Aptos" w:hAnsi="Aptos"/>
                <w:b w:val="0"/>
                <w:sz w:val="17"/>
              </w:rPr>
              <w:t>YAMNet transfer</w:t>
            </w:r>
          </w:p>
        </w:tc>
        <w:tc>
          <w:tcPr>
            <w:tcW w:type="dxa" w:w="1800"/>
            <w:vAlign w:val="center"/>
          </w:tcPr>
          <w:p>
            <w:pPr>
              <w:spacing w:after="20" w:before="20"/>
            </w:pPr>
            <w:r/>
            <w:r>
              <w:rPr>
                <w:rFonts w:ascii="Aptos" w:hAnsi="Aptos"/>
                <w:b w:val="0"/>
                <w:sz w:val="17"/>
              </w:rPr>
              <w:t>90.02%</w:t>
            </w:r>
          </w:p>
        </w:tc>
        <w:tc>
          <w:tcPr>
            <w:tcW w:type="dxa" w:w="1800"/>
            <w:vAlign w:val="center"/>
          </w:tcPr>
          <w:p>
            <w:pPr>
              <w:spacing w:after="20" w:before="20"/>
            </w:pPr>
            <w:r/>
            <w:r>
              <w:rPr>
                <w:rFonts w:ascii="Aptos" w:hAnsi="Aptos"/>
                <w:b w:val="0"/>
                <w:sz w:val="17"/>
              </w:rPr>
              <w:t>0.9000</w:t>
            </w:r>
          </w:p>
        </w:tc>
        <w:tc>
          <w:tcPr>
            <w:tcW w:type="dxa" w:w="3168"/>
            <w:vAlign w:val="center"/>
          </w:tcPr>
          <w:p>
            <w:pPr>
              <w:spacing w:after="20" w:before="20"/>
            </w:pPr>
            <w:r/>
            <w:r>
              <w:rPr>
                <w:rFonts w:ascii="Aptos" w:hAnsi="Aptos"/>
                <w:b w:val="0"/>
                <w:sz w:val="17"/>
              </w:rPr>
              <w:t>Segment</w:t>
            </w:r>
          </w:p>
        </w:tc>
      </w:tr>
    </w:tbl>
    <w:p>
      <w:pPr>
        <w:spacing w:after="0"/>
      </w:pPr>
    </w:p>
    <w:p>
      <w:pPr>
        <w:jc w:val="center"/>
      </w:pPr>
      <w:r>
        <w:drawing>
          <wp:inline xmlns:a="http://schemas.openxmlformats.org/drawingml/2006/main" xmlns:pic="http://schemas.openxmlformats.org/drawingml/2006/picture">
            <wp:extent cx="5760720" cy="2381098"/>
            <wp:docPr id="2" name="Picture 2"/>
            <wp:cNvGraphicFramePr>
              <a:graphicFrameLocks noChangeAspect="1"/>
            </wp:cNvGraphicFramePr>
            <a:graphic>
              <a:graphicData uri="http://schemas.openxmlformats.org/drawingml/2006/picture">
                <pic:pic>
                  <pic:nvPicPr>
                    <pic:cNvPr id="0" name="model_results.png"/>
                    <pic:cNvPicPr/>
                  </pic:nvPicPr>
                  <pic:blipFill>
                    <a:blip r:embed="rId12"/>
                    <a:stretch>
                      <a:fillRect/>
                    </a:stretch>
                  </pic:blipFill>
                  <pic:spPr>
                    <a:xfrm>
                      <a:off x="0" y="0"/>
                      <a:ext cx="5760720" cy="2381098"/>
                    </a:xfrm>
                    <a:prstGeom prst="rect"/>
                  </pic:spPr>
                </pic:pic>
              </a:graphicData>
            </a:graphic>
          </wp:inline>
        </w:drawing>
      </w:r>
    </w:p>
    <w:p>
      <w:pPr>
        <w:pStyle w:val="Caption"/>
        <w:spacing w:after="160"/>
        <w:jc w:val="center"/>
      </w:pPr>
      <w:r>
        <w:rPr>
          <w:i/>
          <w:color w:val="525E68"/>
          <w:sz w:val="17"/>
        </w:rPr>
        <w:t>Figure 3. Test results from saved metric files. YAMNet transfer uses segment-level results.</w:t>
      </w:r>
    </w:p>
    <w:p>
      <w:pPr>
        <w:pStyle w:val="Heading2"/>
      </w:pPr>
      <w:r>
        <w:t>5.1 Model selection and current configuration</w:t>
      </w:r>
    </w:p>
    <w:p>
      <w:r>
        <w:t>The application configuration sets XGBoost as the default active Python model. The saved YAMNet transfer experiment has the strongest measured test metrics, but its test evaluation is segment-based and is not directly comparable to the clip-level results for the other four models. No active selection file was present in the project folder during this review. The report therefore records XGBoost as the configured default and YAMNet transfer as the strongest saved benchmark, rather than claiming they are the same deployment state.</w:t>
      </w:r>
    </w:p>
    <w:p>
      <w:pPr>
        <w:pStyle w:val="Heading2"/>
      </w:pPr>
      <w:r>
        <w:t>5.2 Accuracy targets</w:t>
      </w:r>
    </w:p>
    <w:tbl>
      <w:tblPr>
        <w:tblStyle w:val="LightShading-Accent1"/>
        <w:tblW w:type="auto" w:w="0"/>
        <w:jc w:val="center"/>
        <w:tblLook w:firstColumn="1" w:firstRow="1" w:lastColumn="0" w:lastRow="0" w:noHBand="0" w:noVBand="1" w:val="04A0"/>
      </w:tblPr>
      <w:tblGrid>
        <w:gridCol w:w="3312"/>
        <w:gridCol w:w="3312"/>
        <w:gridCol w:w="3312"/>
      </w:tblGrid>
      <w:tr>
        <w:trPr>
          <w:cantSplit/>
        </w:trPr>
        <w:tc>
          <w:tcPr>
            <w:tcW w:type="dxa" w:w="3744"/>
            <w:vAlign w:val="center"/>
            <w:shd w:fill="24577A"/>
          </w:tcPr>
          <w:p>
            <w:pPr>
              <w:spacing w:after="20" w:before="20"/>
            </w:pPr>
            <w:r/>
            <w:r>
              <w:rPr>
                <w:rFonts w:ascii="Aptos" w:hAnsi="Aptos"/>
                <w:b/>
                <w:color w:val="FFFFFF"/>
                <w:sz w:val="17"/>
              </w:rPr>
              <w:t>SRS target</w:t>
            </w:r>
          </w:p>
        </w:tc>
        <w:tc>
          <w:tcPr>
            <w:tcW w:type="dxa" w:w="2880"/>
            <w:vAlign w:val="center"/>
            <w:shd w:fill="24577A"/>
          </w:tcPr>
          <w:p>
            <w:pPr>
              <w:spacing w:after="20" w:before="20"/>
            </w:pPr>
            <w:r/>
            <w:r>
              <w:rPr>
                <w:rFonts w:ascii="Aptos" w:hAnsi="Aptos"/>
                <w:b/>
                <w:color w:val="FFFFFF"/>
                <w:sz w:val="17"/>
              </w:rPr>
              <w:t>Configured XGBoost</w:t>
            </w:r>
          </w:p>
        </w:tc>
        <w:tc>
          <w:tcPr>
            <w:tcW w:type="dxa" w:w="2880"/>
            <w:vAlign w:val="center"/>
            <w:shd w:fill="24577A"/>
          </w:tcPr>
          <w:p>
            <w:pPr>
              <w:spacing w:after="20" w:before="20"/>
            </w:pPr>
            <w:r/>
            <w:r>
              <w:rPr>
                <w:rFonts w:ascii="Aptos" w:hAnsi="Aptos"/>
                <w:b/>
                <w:color w:val="FFFFFF"/>
                <w:sz w:val="17"/>
              </w:rPr>
              <w:t>YAMNet transfer experiment</w:t>
            </w:r>
          </w:p>
        </w:tc>
      </w:tr>
      <w:tr>
        <w:trPr>
          <w:cantSplit/>
        </w:trPr>
        <w:tc>
          <w:tcPr>
            <w:tcW w:type="dxa" w:w="3744"/>
            <w:vAlign w:val="center"/>
          </w:tcPr>
          <w:p>
            <w:pPr>
              <w:spacing w:after="20" w:before="20"/>
            </w:pPr>
            <w:r/>
            <w:r>
              <w:rPr>
                <w:rFonts w:ascii="Aptos" w:hAnsi="Aptos"/>
                <w:b w:val="0"/>
                <w:sz w:val="17"/>
              </w:rPr>
              <w:t>Accuracy at least 85%</w:t>
            </w:r>
          </w:p>
        </w:tc>
        <w:tc>
          <w:tcPr>
            <w:tcW w:type="dxa" w:w="2880"/>
            <w:vAlign w:val="center"/>
          </w:tcPr>
          <w:p>
            <w:pPr>
              <w:spacing w:after="20" w:before="20"/>
            </w:pPr>
            <w:r/>
            <w:r>
              <w:rPr>
                <w:rFonts w:ascii="Aptos" w:hAnsi="Aptos"/>
                <w:b w:val="0"/>
                <w:sz w:val="17"/>
              </w:rPr>
              <w:t>74.83%, below target</w:t>
            </w:r>
          </w:p>
        </w:tc>
        <w:tc>
          <w:tcPr>
            <w:tcW w:type="dxa" w:w="2880"/>
            <w:vAlign w:val="center"/>
          </w:tcPr>
          <w:p>
            <w:pPr>
              <w:spacing w:after="20" w:before="20"/>
            </w:pPr>
            <w:r/>
            <w:r>
              <w:rPr>
                <w:rFonts w:ascii="Aptos" w:hAnsi="Aptos"/>
                <w:b w:val="0"/>
                <w:sz w:val="17"/>
              </w:rPr>
              <w:t>90.02%, above target</w:t>
            </w:r>
          </w:p>
        </w:tc>
      </w:tr>
      <w:tr>
        <w:trPr>
          <w:cantSplit/>
        </w:trPr>
        <w:tc>
          <w:tcPr>
            <w:tcW w:type="dxa" w:w="3744"/>
            <w:vAlign w:val="center"/>
          </w:tcPr>
          <w:p>
            <w:pPr>
              <w:spacing w:after="20" w:before="20"/>
            </w:pPr>
            <w:r/>
            <w:r>
              <w:rPr>
                <w:rFonts w:ascii="Aptos" w:hAnsi="Aptos"/>
                <w:b w:val="0"/>
                <w:sz w:val="17"/>
              </w:rPr>
              <w:t>Macro F1 at least 0.80</w:t>
            </w:r>
          </w:p>
        </w:tc>
        <w:tc>
          <w:tcPr>
            <w:tcW w:type="dxa" w:w="2880"/>
            <w:vAlign w:val="center"/>
          </w:tcPr>
          <w:p>
            <w:pPr>
              <w:spacing w:after="20" w:before="20"/>
            </w:pPr>
            <w:r/>
            <w:r>
              <w:rPr>
                <w:rFonts w:ascii="Aptos" w:hAnsi="Aptos"/>
                <w:b w:val="0"/>
                <w:sz w:val="17"/>
              </w:rPr>
              <w:t>0.7455, below target</w:t>
            </w:r>
          </w:p>
        </w:tc>
        <w:tc>
          <w:tcPr>
            <w:tcW w:type="dxa" w:w="2880"/>
            <w:vAlign w:val="center"/>
          </w:tcPr>
          <w:p>
            <w:pPr>
              <w:spacing w:after="20" w:before="20"/>
            </w:pPr>
            <w:r/>
            <w:r>
              <w:rPr>
                <w:rFonts w:ascii="Aptos" w:hAnsi="Aptos"/>
                <w:b w:val="0"/>
                <w:sz w:val="17"/>
              </w:rPr>
              <w:t>0.9000, above target</w:t>
            </w:r>
          </w:p>
        </w:tc>
      </w:tr>
      <w:tr>
        <w:trPr>
          <w:cantSplit/>
        </w:trPr>
        <w:tc>
          <w:tcPr>
            <w:tcW w:type="dxa" w:w="3744"/>
            <w:vAlign w:val="center"/>
          </w:tcPr>
          <w:p>
            <w:pPr>
              <w:spacing w:after="20" w:before="20"/>
            </w:pPr>
            <w:r/>
            <w:r>
              <w:rPr>
                <w:rFonts w:ascii="Aptos" w:hAnsi="Aptos"/>
                <w:b w:val="0"/>
                <w:sz w:val="17"/>
              </w:rPr>
              <w:t>Gunshot recall at least 85%</w:t>
            </w:r>
          </w:p>
        </w:tc>
        <w:tc>
          <w:tcPr>
            <w:tcW w:type="dxa" w:w="2880"/>
            <w:vAlign w:val="center"/>
          </w:tcPr>
          <w:p>
            <w:pPr>
              <w:spacing w:after="20" w:before="20"/>
            </w:pPr>
            <w:r/>
            <w:r>
              <w:rPr>
                <w:rFonts w:ascii="Aptos" w:hAnsi="Aptos"/>
                <w:b w:val="0"/>
                <w:sz w:val="17"/>
              </w:rPr>
              <w:t>73.33%, below target</w:t>
            </w:r>
          </w:p>
        </w:tc>
        <w:tc>
          <w:tcPr>
            <w:tcW w:type="dxa" w:w="2880"/>
            <w:vAlign w:val="center"/>
          </w:tcPr>
          <w:p>
            <w:pPr>
              <w:spacing w:after="20" w:before="20"/>
            </w:pPr>
            <w:r/>
            <w:r>
              <w:rPr>
                <w:rFonts w:ascii="Aptos" w:hAnsi="Aptos"/>
                <w:b w:val="0"/>
                <w:sz w:val="17"/>
              </w:rPr>
              <w:t>86.67%, above target</w:t>
            </w:r>
          </w:p>
        </w:tc>
      </w:tr>
      <w:tr>
        <w:trPr>
          <w:cantSplit/>
        </w:trPr>
        <w:tc>
          <w:tcPr>
            <w:tcW w:type="dxa" w:w="3744"/>
            <w:vAlign w:val="center"/>
          </w:tcPr>
          <w:p>
            <w:pPr>
              <w:spacing w:after="20" w:before="20"/>
            </w:pPr>
            <w:r/>
            <w:r>
              <w:rPr>
                <w:rFonts w:ascii="Aptos" w:hAnsi="Aptos"/>
                <w:b w:val="0"/>
                <w:sz w:val="17"/>
              </w:rPr>
              <w:t>Glass Breaking recall at least 85%</w:t>
            </w:r>
          </w:p>
        </w:tc>
        <w:tc>
          <w:tcPr>
            <w:tcW w:type="dxa" w:w="2880"/>
            <w:vAlign w:val="center"/>
          </w:tcPr>
          <w:p>
            <w:pPr>
              <w:spacing w:after="20" w:before="20"/>
            </w:pPr>
            <w:r/>
            <w:r>
              <w:rPr>
                <w:rFonts w:ascii="Aptos" w:hAnsi="Aptos"/>
                <w:b w:val="0"/>
                <w:sz w:val="17"/>
              </w:rPr>
              <w:t>88.89%, above target</w:t>
            </w:r>
          </w:p>
        </w:tc>
        <w:tc>
          <w:tcPr>
            <w:tcW w:type="dxa" w:w="2880"/>
            <w:vAlign w:val="center"/>
          </w:tcPr>
          <w:p>
            <w:pPr>
              <w:spacing w:after="20" w:before="20"/>
            </w:pPr>
            <w:r/>
            <w:r>
              <w:rPr>
                <w:rFonts w:ascii="Aptos" w:hAnsi="Aptos"/>
                <w:b w:val="0"/>
                <w:sz w:val="17"/>
              </w:rPr>
              <w:t>95.56%, above target</w:t>
            </w:r>
          </w:p>
        </w:tc>
      </w:tr>
      <w:tr>
        <w:trPr>
          <w:cantSplit/>
        </w:trPr>
        <w:tc>
          <w:tcPr>
            <w:tcW w:type="dxa" w:w="3744"/>
            <w:vAlign w:val="center"/>
          </w:tcPr>
          <w:p>
            <w:pPr>
              <w:spacing w:after="20" w:before="20"/>
            </w:pPr>
            <w:r/>
            <w:r>
              <w:rPr>
                <w:rFonts w:ascii="Aptos" w:hAnsi="Aptos"/>
                <w:b w:val="0"/>
                <w:sz w:val="17"/>
              </w:rPr>
              <w:t>Panic Scream recall at least 85%</w:t>
            </w:r>
          </w:p>
        </w:tc>
        <w:tc>
          <w:tcPr>
            <w:tcW w:type="dxa" w:w="2880"/>
            <w:vAlign w:val="center"/>
          </w:tcPr>
          <w:p>
            <w:pPr>
              <w:spacing w:after="20" w:before="20"/>
            </w:pPr>
            <w:r/>
            <w:r>
              <w:rPr>
                <w:rFonts w:ascii="Aptos" w:hAnsi="Aptos"/>
                <w:b w:val="0"/>
                <w:sz w:val="17"/>
              </w:rPr>
              <w:t>86.67%, above target</w:t>
            </w:r>
          </w:p>
        </w:tc>
        <w:tc>
          <w:tcPr>
            <w:tcW w:type="dxa" w:w="2880"/>
            <w:vAlign w:val="center"/>
          </w:tcPr>
          <w:p>
            <w:pPr>
              <w:spacing w:after="20" w:before="20"/>
            </w:pPr>
            <w:r/>
            <w:r>
              <w:rPr>
                <w:rFonts w:ascii="Aptos" w:hAnsi="Aptos"/>
                <w:b w:val="0"/>
                <w:sz w:val="17"/>
              </w:rPr>
              <w:t>88.89%, above target</w:t>
            </w:r>
          </w:p>
        </w:tc>
      </w:tr>
      <w:tr>
        <w:trPr>
          <w:cantSplit/>
        </w:trPr>
        <w:tc>
          <w:tcPr>
            <w:tcW w:type="dxa" w:w="3744"/>
            <w:vAlign w:val="center"/>
          </w:tcPr>
          <w:p>
            <w:pPr>
              <w:spacing w:after="20" w:before="20"/>
            </w:pPr>
            <w:r/>
            <w:r>
              <w:rPr>
                <w:rFonts w:ascii="Aptos" w:hAnsi="Aptos"/>
                <w:b w:val="0"/>
                <w:sz w:val="17"/>
              </w:rPr>
              <w:t>Aggression recall at least 85%</w:t>
            </w:r>
          </w:p>
        </w:tc>
        <w:tc>
          <w:tcPr>
            <w:tcW w:type="dxa" w:w="2880"/>
            <w:vAlign w:val="center"/>
          </w:tcPr>
          <w:p>
            <w:pPr>
              <w:spacing w:after="20" w:before="20"/>
            </w:pPr>
            <w:r/>
            <w:r>
              <w:rPr>
                <w:rFonts w:ascii="Aptos" w:hAnsi="Aptos"/>
                <w:b w:val="0"/>
                <w:sz w:val="17"/>
              </w:rPr>
              <w:t>97.78%, above target</w:t>
            </w:r>
          </w:p>
        </w:tc>
        <w:tc>
          <w:tcPr>
            <w:tcW w:type="dxa" w:w="2880"/>
            <w:vAlign w:val="center"/>
          </w:tcPr>
          <w:p>
            <w:pPr>
              <w:spacing w:after="20" w:before="20"/>
            </w:pPr>
            <w:r/>
            <w:r>
              <w:rPr>
                <w:rFonts w:ascii="Aptos" w:hAnsi="Aptos"/>
                <w:b w:val="0"/>
                <w:sz w:val="17"/>
              </w:rPr>
              <w:t>97.78%, above target</w:t>
            </w:r>
          </w:p>
        </w:tc>
      </w:tr>
      <w:tr>
        <w:trPr>
          <w:cantSplit/>
        </w:trPr>
        <w:tc>
          <w:tcPr>
            <w:tcW w:type="dxa" w:w="3744"/>
            <w:vAlign w:val="center"/>
          </w:tcPr>
          <w:p>
            <w:pPr>
              <w:spacing w:after="20" w:before="20"/>
            </w:pPr>
            <w:r/>
            <w:r>
              <w:rPr>
                <w:rFonts w:ascii="Aptos" w:hAnsi="Aptos"/>
                <w:b w:val="0"/>
                <w:sz w:val="17"/>
              </w:rPr>
              <w:t>Person Asking for Help recall at least 85%</w:t>
            </w:r>
          </w:p>
        </w:tc>
        <w:tc>
          <w:tcPr>
            <w:tcW w:type="dxa" w:w="2880"/>
            <w:vAlign w:val="center"/>
          </w:tcPr>
          <w:p>
            <w:pPr>
              <w:spacing w:after="20" w:before="20"/>
            </w:pPr>
            <w:r/>
            <w:r>
              <w:rPr>
                <w:rFonts w:ascii="Aptos" w:hAnsi="Aptos"/>
                <w:b w:val="0"/>
                <w:sz w:val="17"/>
              </w:rPr>
              <w:t>80.00%, below target</w:t>
            </w:r>
          </w:p>
        </w:tc>
        <w:tc>
          <w:tcPr>
            <w:tcW w:type="dxa" w:w="2880"/>
            <w:vAlign w:val="center"/>
          </w:tcPr>
          <w:p>
            <w:pPr>
              <w:spacing w:after="20" w:before="20"/>
            </w:pPr>
            <w:r/>
            <w:r>
              <w:rPr>
                <w:rFonts w:ascii="Aptos" w:hAnsi="Aptos"/>
                <w:b w:val="0"/>
                <w:sz w:val="17"/>
              </w:rPr>
              <w:t>86.96%, above target</w:t>
            </w:r>
          </w:p>
        </w:tc>
      </w:tr>
    </w:tbl>
    <w:p>
      <w:pPr>
        <w:spacing w:after="0"/>
      </w:pPr>
    </w:p>
    <w:p>
      <w:r>
        <w:t>The YAMNet transfer results clear the numeric thresholds in the saved metric file, but the evaluation counts 451 test segments from 445 test recordings. Report-level comparison should use the same unit and same unseen recordings for every model. Re-run a per-recording evaluation before treating the result as a final SRS pass.</w:t>
      </w:r>
    </w:p>
    <w:p>
      <w:pPr>
        <w:pStyle w:val="Heading1"/>
      </w:pPr>
      <w:r>
        <w:t>6 Browser Model and Comparison</w:t>
      </w:r>
    </w:p>
    <w:p>
      <w:r>
        <w:t>The web application integrates a TensorFlow.js model exported from Google Teachable Machine. The browser loads the class labels and checks that their order matches the application. The browser scores the audio on its own and posts scores to the server endpoint after the server has saved its Python prediction. This supports independent model comparison and follows the SRS design.</w:t>
      </w:r>
    </w:p>
    <w:p>
      <w:r>
        <w:t>The saved Teachable Machine prediction file contains 445 test examples. Recalculation from that file gives 35.96% accuracy and 0.3421 macro F1 across the ten classes. These results are below the SRS targets of 85% accuracy and 0.80 macro F1.</w:t>
      </w:r>
    </w:p>
    <w:p>
      <w:r>
        <w:t>A separate browser CNN experiment appears in the project reports, with saved results of 75.73% accuracy and 0.7555 macro F1. That experiment is not the current browser integration described by the application code and should be presented as an experiment, not as a replacement for the required Teachable Machine classifier.</w:t>
      </w:r>
    </w:p>
    <w:p>
      <w:pPr>
        <w:keepNext/>
        <w:jc w:val="center"/>
      </w:pPr>
      <w:r>
        <w:drawing>
          <wp:inline xmlns:a="http://schemas.openxmlformats.org/drawingml/2006/main" xmlns:pic="http://schemas.openxmlformats.org/drawingml/2006/picture">
            <wp:extent cx="5715000" cy="1609546"/>
            <wp:docPr id="13" name="Picture 13"/>
            <wp:cNvGraphicFramePr>
              <a:graphicFrameLocks noChangeAspect="1"/>
            </wp:cNvGraphicFramePr>
            <a:graphic>
              <a:graphicData uri="http://schemas.openxmlformats.org/drawingml/2006/picture">
                <pic:pic>
                  <pic:nvPicPr>
                    <pic:cNvPr id="0" name="feature_pipeline_diagram.png"/>
                    <pic:cNvPicPr/>
                  </pic:nvPicPr>
                  <pic:blipFill>
                    <a:blip r:embed="rId22"/>
                    <a:stretch>
                      <a:fillRect/>
                    </a:stretch>
                  </pic:blipFill>
                  <pic:spPr>
                    <a:xfrm>
                      <a:off x="0" y="0"/>
                      <a:ext cx="5715000" cy="1609546"/>
                    </a:xfrm>
                    <a:prstGeom prst="rect"/>
                  </pic:spPr>
                </pic:pic>
              </a:graphicData>
            </a:graphic>
          </wp:inline>
        </w:drawing>
      </w:r>
    </w:p>
    <w:p>
      <w:pPr>
        <w:pStyle w:val="Caption"/>
        <w:keepNext w:val="0"/>
        <w:jc w:val="center"/>
      </w:pPr>
      <w:r>
        <w:rPr>
          <w:i/>
          <w:color w:val="525E68"/>
          <w:sz w:val="17"/>
        </w:rPr>
        <w:t>Earlier one-second log-mel pipeline used in the separate browser CNN experiment. It does not describe the Teachable Machine model used by the current integration.</w:t>
      </w:r>
    </w:p>
    <w:p>
      <w:pPr>
        <w:pStyle w:val="Heading2"/>
      </w:pPr>
      <w:r>
        <w:t>6.1 Comparison values</w:t>
      </w:r>
    </w:p>
    <w:p>
      <w:pPr>
        <w:pStyle w:val="ListBullet"/>
      </w:pPr>
      <w:r>
        <w:t>Predicted class from each model and the full class score vectors.</w:t>
      </w:r>
    </w:p>
    <w:p>
      <w:pPr>
        <w:pStyle w:val="ListBullet"/>
      </w:pPr>
      <w:r>
        <w:t>Whether the top class agrees and the difference between the two top-class confidence scores.</w:t>
      </w:r>
    </w:p>
    <w:p>
      <w:pPr>
        <w:pStyle w:val="ListBullet"/>
      </w:pPr>
      <w:r>
        <w:t>The margin between the top two scores, used to identify uncertain predictions.</w:t>
      </w:r>
    </w:p>
    <w:p>
      <w:pPr>
        <w:pStyle w:val="ListBullet"/>
      </w:pPr>
      <w:r>
        <w:t>Model version, quality result, severity, alert state, and review status.</w:t>
      </w:r>
    </w:p>
    <w:p>
      <w:r>
        <w:t>Confidence values from two independently trained models are not necessarily calibrated to the same scale. The application records their difference as a review aid; matching confidence values do not prove that the models are equally reliable.</w:t>
      </w:r>
    </w:p>
    <w:p>
      <w:pPr>
        <w:pStyle w:val="Heading1"/>
      </w:pPr>
      <w:r>
        <w:t>7 Alerts and Manual Review</w:t>
      </w:r>
    </w:p>
    <w:p>
      <w:r>
        <w:t>Alert rules are stored in alert_rules/alert_rules.json. Each class can define a minimum confidence, a margin between the top two classes, required repeated detections, whether model agreement is required, a minimum audio quality, severity, a recommended action, review conditions, and escalation conditions. Administrators can adjust application settings through the admin pages.</w:t>
      </w:r>
    </w:p>
    <w:p>
      <w:r>
        <w:t>The decision logic checks for disagreements, low confidence, poor audio quality, close scores, possible overlapping sounds, unknown patterns, and critical events that do not satisfy their configured confirmation rules. Events that need a person are added to the manual review queue. Reviewers can play the audio, confirm or correct a class, and record comments while preserving original model outputs.</w:t>
      </w:r>
    </w:p>
    <w:p>
      <w:pPr>
        <w:pStyle w:val="Heading2"/>
      </w:pPr>
      <w:r>
        <w:t>7.1 Example severity rules</w:t>
      </w:r>
    </w:p>
    <w:tbl>
      <w:tblPr>
        <w:tblStyle w:val="LightShading-Accent1"/>
        <w:tblW w:type="auto" w:w="0"/>
        <w:jc w:val="center"/>
        <w:tblLook w:firstColumn="1" w:firstRow="1" w:lastColumn="0" w:lastRow="0" w:noHBand="0" w:noVBand="1" w:val="04A0"/>
      </w:tblPr>
      <w:tblGrid>
        <w:gridCol w:w="3312"/>
        <w:gridCol w:w="3312"/>
        <w:gridCol w:w="3312"/>
      </w:tblGrid>
      <w:tr>
        <w:trPr>
          <w:cantSplit/>
        </w:trPr>
        <w:tc>
          <w:tcPr>
            <w:tcW w:type="dxa" w:w="2376"/>
            <w:vAlign w:val="center"/>
            <w:shd w:fill="24577A"/>
          </w:tcPr>
          <w:p>
            <w:pPr>
              <w:spacing w:after="20" w:before="20"/>
            </w:pPr>
            <w:r/>
            <w:r>
              <w:rPr>
                <w:rFonts w:ascii="Aptos" w:hAnsi="Aptos"/>
                <w:b/>
                <w:color w:val="FFFFFF"/>
                <w:sz w:val="17"/>
              </w:rPr>
              <w:t>Class</w:t>
            </w:r>
          </w:p>
        </w:tc>
        <w:tc>
          <w:tcPr>
            <w:tcW w:type="dxa" w:w="1800"/>
            <w:vAlign w:val="center"/>
            <w:shd w:fill="24577A"/>
          </w:tcPr>
          <w:p>
            <w:pPr>
              <w:spacing w:after="20" w:before="20"/>
            </w:pPr>
            <w:r/>
            <w:r>
              <w:rPr>
                <w:rFonts w:ascii="Aptos" w:hAnsi="Aptos"/>
                <w:b/>
                <w:color w:val="FFFFFF"/>
                <w:sz w:val="17"/>
              </w:rPr>
              <w:t>Configured severity</w:t>
            </w:r>
          </w:p>
        </w:tc>
        <w:tc>
          <w:tcPr>
            <w:tcW w:type="dxa" w:w="5328"/>
            <w:vAlign w:val="center"/>
            <w:shd w:fill="24577A"/>
          </w:tcPr>
          <w:p>
            <w:pPr>
              <w:spacing w:after="20" w:before="20"/>
            </w:pPr>
            <w:r/>
            <w:r>
              <w:rPr>
                <w:rFonts w:ascii="Aptos" w:hAnsi="Aptos"/>
                <w:b/>
                <w:color w:val="FFFFFF"/>
                <w:sz w:val="17"/>
              </w:rPr>
              <w:t>Example rule behavior</w:t>
            </w:r>
          </w:p>
        </w:tc>
      </w:tr>
      <w:tr>
        <w:trPr>
          <w:cantSplit/>
        </w:trPr>
        <w:tc>
          <w:tcPr>
            <w:tcW w:type="dxa" w:w="2376"/>
            <w:vAlign w:val="center"/>
          </w:tcPr>
          <w:p>
            <w:pPr>
              <w:spacing w:after="20" w:before="20"/>
            </w:pPr>
            <w:r/>
            <w:r>
              <w:rPr>
                <w:rFonts w:ascii="Aptos" w:hAnsi="Aptos"/>
                <w:b w:val="0"/>
                <w:sz w:val="17"/>
              </w:rPr>
              <w:t>Gunshot</w:t>
            </w:r>
          </w:p>
        </w:tc>
        <w:tc>
          <w:tcPr>
            <w:tcW w:type="dxa" w:w="1800"/>
            <w:vAlign w:val="center"/>
          </w:tcPr>
          <w:p>
            <w:pPr>
              <w:spacing w:after="20" w:before="20"/>
            </w:pPr>
            <w:r/>
            <w:r>
              <w:rPr>
                <w:rFonts w:ascii="Aptos" w:hAnsi="Aptos"/>
                <w:b w:val="0"/>
                <w:sz w:val="17"/>
              </w:rPr>
              <w:t>Critical</w:t>
            </w:r>
          </w:p>
        </w:tc>
        <w:tc>
          <w:tcPr>
            <w:tcW w:type="dxa" w:w="5328"/>
            <w:vAlign w:val="center"/>
          </w:tcPr>
          <w:p>
            <w:pPr>
              <w:spacing w:after="20" w:before="20"/>
            </w:pPr>
            <w:r/>
            <w:r>
              <w:rPr>
                <w:rFonts w:ascii="Aptos" w:hAnsi="Aptos"/>
                <w:b w:val="0"/>
                <w:sz w:val="17"/>
              </w:rPr>
              <w:t>Requires high confidence, a clear score margin, repeated detections, model agreement, and acceptable quality.</w:t>
            </w:r>
          </w:p>
        </w:tc>
      </w:tr>
      <w:tr>
        <w:trPr>
          <w:cantSplit/>
        </w:trPr>
        <w:tc>
          <w:tcPr>
            <w:tcW w:type="dxa" w:w="2376"/>
            <w:vAlign w:val="center"/>
          </w:tcPr>
          <w:p>
            <w:pPr>
              <w:spacing w:after="20" w:before="20"/>
            </w:pPr>
            <w:r/>
            <w:r>
              <w:rPr>
                <w:rFonts w:ascii="Aptos" w:hAnsi="Aptos"/>
                <w:b w:val="0"/>
                <w:sz w:val="17"/>
              </w:rPr>
              <w:t>Panic Scream</w:t>
            </w:r>
          </w:p>
        </w:tc>
        <w:tc>
          <w:tcPr>
            <w:tcW w:type="dxa" w:w="1800"/>
            <w:vAlign w:val="center"/>
          </w:tcPr>
          <w:p>
            <w:pPr>
              <w:spacing w:after="20" w:before="20"/>
            </w:pPr>
            <w:r/>
            <w:r>
              <w:rPr>
                <w:rFonts w:ascii="Aptos" w:hAnsi="Aptos"/>
                <w:b w:val="0"/>
                <w:sz w:val="17"/>
              </w:rPr>
              <w:t>Critical</w:t>
            </w:r>
          </w:p>
        </w:tc>
        <w:tc>
          <w:tcPr>
            <w:tcW w:type="dxa" w:w="5328"/>
            <w:vAlign w:val="center"/>
          </w:tcPr>
          <w:p>
            <w:pPr>
              <w:spacing w:after="20" w:before="20"/>
            </w:pPr>
            <w:r/>
            <w:r>
              <w:rPr>
                <w:rFonts w:ascii="Aptos" w:hAnsi="Aptos"/>
                <w:b w:val="0"/>
                <w:sz w:val="17"/>
              </w:rPr>
              <w:t>Requires confidence, score margin, model agreement, and acceptable quality.</w:t>
            </w:r>
          </w:p>
        </w:tc>
      </w:tr>
      <w:tr>
        <w:trPr>
          <w:cantSplit/>
        </w:trPr>
        <w:tc>
          <w:tcPr>
            <w:tcW w:type="dxa" w:w="2376"/>
            <w:vAlign w:val="center"/>
          </w:tcPr>
          <w:p>
            <w:pPr>
              <w:spacing w:after="20" w:before="20"/>
            </w:pPr>
            <w:r/>
            <w:r>
              <w:rPr>
                <w:rFonts w:ascii="Aptos" w:hAnsi="Aptos"/>
                <w:b w:val="0"/>
                <w:sz w:val="17"/>
              </w:rPr>
              <w:t>Person Asking for Help</w:t>
            </w:r>
          </w:p>
        </w:tc>
        <w:tc>
          <w:tcPr>
            <w:tcW w:type="dxa" w:w="1800"/>
            <w:vAlign w:val="center"/>
          </w:tcPr>
          <w:p>
            <w:pPr>
              <w:spacing w:after="20" w:before="20"/>
            </w:pPr>
            <w:r/>
            <w:r>
              <w:rPr>
                <w:rFonts w:ascii="Aptos" w:hAnsi="Aptos"/>
                <w:b w:val="0"/>
                <w:sz w:val="17"/>
              </w:rPr>
              <w:t>Critical</w:t>
            </w:r>
          </w:p>
        </w:tc>
        <w:tc>
          <w:tcPr>
            <w:tcW w:type="dxa" w:w="5328"/>
            <w:vAlign w:val="center"/>
          </w:tcPr>
          <w:p>
            <w:pPr>
              <w:spacing w:after="20" w:before="20"/>
            </w:pPr>
            <w:r/>
            <w:r>
              <w:rPr>
                <w:rFonts w:ascii="Aptos" w:hAnsi="Aptos"/>
                <w:b w:val="0"/>
                <w:sz w:val="17"/>
              </w:rPr>
              <w:t>Requires model agreement and acceptable quality.</w:t>
            </w:r>
          </w:p>
        </w:tc>
      </w:tr>
      <w:tr>
        <w:trPr>
          <w:cantSplit/>
        </w:trPr>
        <w:tc>
          <w:tcPr>
            <w:tcW w:type="dxa" w:w="2376"/>
            <w:vAlign w:val="center"/>
          </w:tcPr>
          <w:p>
            <w:pPr>
              <w:spacing w:after="20" w:before="20"/>
            </w:pPr>
            <w:r/>
            <w:r>
              <w:rPr>
                <w:rFonts w:ascii="Aptos" w:hAnsi="Aptos"/>
                <w:b w:val="0"/>
                <w:sz w:val="17"/>
              </w:rPr>
              <w:t>Glass Breaking</w:t>
            </w:r>
          </w:p>
        </w:tc>
        <w:tc>
          <w:tcPr>
            <w:tcW w:type="dxa" w:w="1800"/>
            <w:vAlign w:val="center"/>
          </w:tcPr>
          <w:p>
            <w:pPr>
              <w:spacing w:after="20" w:before="20"/>
            </w:pPr>
            <w:r/>
            <w:r>
              <w:rPr>
                <w:rFonts w:ascii="Aptos" w:hAnsi="Aptos"/>
                <w:b w:val="0"/>
                <w:sz w:val="17"/>
              </w:rPr>
              <w:t>High</w:t>
            </w:r>
          </w:p>
        </w:tc>
        <w:tc>
          <w:tcPr>
            <w:tcW w:type="dxa" w:w="5328"/>
            <w:vAlign w:val="center"/>
          </w:tcPr>
          <w:p>
            <w:pPr>
              <w:spacing w:after="20" w:before="20"/>
            </w:pPr>
            <w:r/>
            <w:r>
              <w:rPr>
                <w:rFonts w:ascii="Aptos" w:hAnsi="Aptos"/>
                <w:b w:val="0"/>
                <w:sz w:val="17"/>
              </w:rPr>
              <w:t>Requires model agreement and acceptable quality.</w:t>
            </w:r>
          </w:p>
        </w:tc>
      </w:tr>
      <w:tr>
        <w:trPr>
          <w:cantSplit/>
        </w:trPr>
        <w:tc>
          <w:tcPr>
            <w:tcW w:type="dxa" w:w="2376"/>
            <w:vAlign w:val="center"/>
          </w:tcPr>
          <w:p>
            <w:pPr>
              <w:spacing w:after="20" w:before="20"/>
            </w:pPr>
            <w:r/>
            <w:r>
              <w:rPr>
                <w:rFonts w:ascii="Aptos" w:hAnsi="Aptos"/>
                <w:b w:val="0"/>
                <w:sz w:val="17"/>
              </w:rPr>
              <w:t>Aggression</w:t>
            </w:r>
          </w:p>
        </w:tc>
        <w:tc>
          <w:tcPr>
            <w:tcW w:type="dxa" w:w="1800"/>
            <w:vAlign w:val="center"/>
          </w:tcPr>
          <w:p>
            <w:pPr>
              <w:spacing w:after="20" w:before="20"/>
            </w:pPr>
            <w:r/>
            <w:r>
              <w:rPr>
                <w:rFonts w:ascii="Aptos" w:hAnsi="Aptos"/>
                <w:b w:val="0"/>
                <w:sz w:val="17"/>
              </w:rPr>
              <w:t>High</w:t>
            </w:r>
          </w:p>
        </w:tc>
        <w:tc>
          <w:tcPr>
            <w:tcW w:type="dxa" w:w="5328"/>
            <w:vAlign w:val="center"/>
          </w:tcPr>
          <w:p>
            <w:pPr>
              <w:spacing w:after="20" w:before="20"/>
            </w:pPr>
            <w:r/>
            <w:r>
              <w:rPr>
                <w:rFonts w:ascii="Aptos" w:hAnsi="Aptos"/>
                <w:b w:val="0"/>
                <w:sz w:val="17"/>
              </w:rPr>
              <w:t>Repeated detections can raise severity to Critical.</w:t>
            </w:r>
          </w:p>
        </w:tc>
      </w:tr>
      <w:tr>
        <w:trPr>
          <w:cantSplit/>
        </w:trPr>
        <w:tc>
          <w:tcPr>
            <w:tcW w:type="dxa" w:w="2376"/>
            <w:vAlign w:val="center"/>
          </w:tcPr>
          <w:p>
            <w:pPr>
              <w:spacing w:after="20" w:before="20"/>
            </w:pPr>
            <w:r/>
            <w:r>
              <w:rPr>
                <w:rFonts w:ascii="Aptos" w:hAnsi="Aptos"/>
                <w:b w:val="0"/>
                <w:sz w:val="17"/>
              </w:rPr>
              <w:t>Background Noise</w:t>
            </w:r>
          </w:p>
        </w:tc>
        <w:tc>
          <w:tcPr>
            <w:tcW w:type="dxa" w:w="1800"/>
            <w:vAlign w:val="center"/>
          </w:tcPr>
          <w:p>
            <w:pPr>
              <w:spacing w:after="20" w:before="20"/>
            </w:pPr>
            <w:r/>
            <w:r>
              <w:rPr>
                <w:rFonts w:ascii="Aptos" w:hAnsi="Aptos"/>
                <w:b w:val="0"/>
                <w:sz w:val="17"/>
              </w:rPr>
              <w:t>Informational</w:t>
            </w:r>
          </w:p>
        </w:tc>
        <w:tc>
          <w:tcPr>
            <w:tcW w:type="dxa" w:w="5328"/>
            <w:vAlign w:val="center"/>
          </w:tcPr>
          <w:p>
            <w:pPr>
              <w:spacing w:after="20" w:before="20"/>
            </w:pPr>
            <w:r/>
            <w:r>
              <w:rPr>
                <w:rFonts w:ascii="Aptos" w:hAnsi="Aptos"/>
                <w:b w:val="0"/>
                <w:sz w:val="17"/>
              </w:rPr>
              <w:t>Can rise to Medium when the measured noise level exceeds its rule.</w:t>
            </w:r>
          </w:p>
        </w:tc>
      </w:tr>
    </w:tbl>
    <w:p>
      <w:pPr>
        <w:spacing w:after="0"/>
      </w:pPr>
    </w:p>
    <w:p>
      <w:r>
        <w:t>Configured rule outcomes are recommendations for an operator. They do not contact emergency services or verify that an incident occurred.</w:t>
      </w:r>
    </w:p>
    <w:p>
      <w:pPr>
        <w:pStyle w:val="Heading2"/>
      </w:pPr>
      <w:r>
        <w:t>7.2 Decision sequence</w:t>
      </w:r>
    </w:p>
    <w:p>
      <w:r>
        <w:t>The application first compares model classes and scores, then evaluates audio quality and the matching class rule. If a review condition applies, the event enters the review queue. Otherwise, a qualifying rule can create an alert. Events that meet neither condition remain in the event history. A missing browser prediction is recorded as awaiting comparison rather than as model agreement.</w:t>
      </w:r>
    </w:p>
    <w:p>
      <w:pPr>
        <w:pStyle w:val="Heading1"/>
      </w:pPr>
      <w:r>
        <w:t>8 Web Application and Data</w:t>
      </w:r>
    </w:p>
    <w:p>
      <w:pPr>
        <w:pStyle w:val="Heading2"/>
      </w:pPr>
      <w:r>
        <w:t>8.1 Main pages</w:t>
      </w:r>
    </w:p>
    <w:tbl>
      <w:tblPr>
        <w:tblStyle w:val="LightShading-Accent1"/>
        <w:tblW w:type="auto" w:w="0"/>
        <w:jc w:val="center"/>
        <w:tblLook w:firstColumn="1" w:firstRow="1" w:lastColumn="0" w:lastRow="0" w:noHBand="0" w:noVBand="1" w:val="04A0"/>
      </w:tblPr>
      <w:tblGrid>
        <w:gridCol w:w="4968"/>
        <w:gridCol w:w="4968"/>
      </w:tblGrid>
      <w:tr>
        <w:trPr>
          <w:cantSplit/>
        </w:trPr>
        <w:tc>
          <w:tcPr>
            <w:tcW w:type="dxa" w:w="2160"/>
            <w:vAlign w:val="center"/>
            <w:shd w:fill="24577A"/>
          </w:tcPr>
          <w:p>
            <w:pPr>
              <w:spacing w:after="20" w:before="20"/>
            </w:pPr>
            <w:r/>
            <w:r>
              <w:rPr>
                <w:rFonts w:ascii="Aptos" w:hAnsi="Aptos"/>
                <w:b/>
                <w:color w:val="FFFFFF"/>
                <w:sz w:val="17"/>
              </w:rPr>
              <w:t>Page</w:t>
            </w:r>
          </w:p>
        </w:tc>
        <w:tc>
          <w:tcPr>
            <w:tcW w:type="dxa" w:w="7344"/>
            <w:vAlign w:val="center"/>
            <w:shd w:fill="24577A"/>
          </w:tcPr>
          <w:p>
            <w:pPr>
              <w:spacing w:after="20" w:before="20"/>
            </w:pPr>
            <w:r/>
            <w:r>
              <w:rPr>
                <w:rFonts w:ascii="Aptos" w:hAnsi="Aptos"/>
                <w:b/>
                <w:color w:val="FFFFFF"/>
                <w:sz w:val="17"/>
              </w:rPr>
              <w:t>Purpose</w:t>
            </w:r>
          </w:p>
        </w:tc>
      </w:tr>
      <w:tr>
        <w:trPr>
          <w:cantSplit/>
        </w:trPr>
        <w:tc>
          <w:tcPr>
            <w:tcW w:type="dxa" w:w="2160"/>
            <w:vAlign w:val="center"/>
          </w:tcPr>
          <w:p>
            <w:pPr>
              <w:spacing w:after="20" w:before="20"/>
            </w:pPr>
            <w:r/>
            <w:r>
              <w:rPr>
                <w:rFonts w:ascii="Aptos" w:hAnsi="Aptos"/>
                <w:b w:val="0"/>
                <w:sz w:val="17"/>
              </w:rPr>
              <w:t>Dashboard</w:t>
            </w:r>
          </w:p>
        </w:tc>
        <w:tc>
          <w:tcPr>
            <w:tcW w:type="dxa" w:w="7344"/>
            <w:vAlign w:val="center"/>
          </w:tcPr>
          <w:p>
            <w:pPr>
              <w:spacing w:after="20" w:before="20"/>
            </w:pPr>
            <w:r/>
            <w:r>
              <w:rPr>
                <w:rFonts w:ascii="Aptos" w:hAnsi="Aptos"/>
                <w:b w:val="0"/>
                <w:sz w:val="17"/>
              </w:rPr>
              <w:t>Upload audio and review predictions, score comparisons, quality, severity, and actions.</w:t>
            </w:r>
          </w:p>
        </w:tc>
      </w:tr>
      <w:tr>
        <w:trPr>
          <w:cantSplit/>
        </w:trPr>
        <w:tc>
          <w:tcPr>
            <w:tcW w:type="dxa" w:w="2160"/>
            <w:vAlign w:val="center"/>
          </w:tcPr>
          <w:p>
            <w:pPr>
              <w:spacing w:after="20" w:before="20"/>
            </w:pPr>
            <w:r/>
            <w:r>
              <w:rPr>
                <w:rFonts w:ascii="Aptos" w:hAnsi="Aptos"/>
                <w:b w:val="0"/>
                <w:sz w:val="17"/>
              </w:rPr>
              <w:t>Live Monitor</w:t>
            </w:r>
          </w:p>
        </w:tc>
        <w:tc>
          <w:tcPr>
            <w:tcW w:type="dxa" w:w="7344"/>
            <w:vAlign w:val="center"/>
          </w:tcPr>
          <w:p>
            <w:pPr>
              <w:spacing w:after="20" w:before="20"/>
            </w:pPr>
            <w:r/>
            <w:r>
              <w:rPr>
                <w:rFonts w:ascii="Aptos" w:hAnsi="Aptos"/>
                <w:b w:val="0"/>
                <w:sz w:val="17"/>
              </w:rPr>
              <w:t>Capture microphone audio with permission and display current detections.</w:t>
            </w:r>
          </w:p>
        </w:tc>
      </w:tr>
      <w:tr>
        <w:trPr>
          <w:cantSplit/>
        </w:trPr>
        <w:tc>
          <w:tcPr>
            <w:tcW w:type="dxa" w:w="2160"/>
            <w:vAlign w:val="center"/>
          </w:tcPr>
          <w:p>
            <w:pPr>
              <w:spacing w:after="20" w:before="20"/>
            </w:pPr>
            <w:r/>
            <w:r>
              <w:rPr>
                <w:rFonts w:ascii="Aptos" w:hAnsi="Aptos"/>
                <w:b w:val="0"/>
                <w:sz w:val="17"/>
              </w:rPr>
              <w:t>Event History</w:t>
            </w:r>
          </w:p>
        </w:tc>
        <w:tc>
          <w:tcPr>
            <w:tcW w:type="dxa" w:w="7344"/>
            <w:vAlign w:val="center"/>
          </w:tcPr>
          <w:p>
            <w:pPr>
              <w:spacing w:after="20" w:before="20"/>
            </w:pPr>
            <w:r/>
            <w:r>
              <w:rPr>
                <w:rFonts w:ascii="Aptos" w:hAnsi="Aptos"/>
                <w:b w:val="0"/>
                <w:sz w:val="17"/>
              </w:rPr>
              <w:t>Search and filter stored detections.</w:t>
            </w:r>
          </w:p>
        </w:tc>
      </w:tr>
      <w:tr>
        <w:trPr>
          <w:cantSplit/>
        </w:trPr>
        <w:tc>
          <w:tcPr>
            <w:tcW w:type="dxa" w:w="2160"/>
            <w:vAlign w:val="center"/>
          </w:tcPr>
          <w:p>
            <w:pPr>
              <w:spacing w:after="20" w:before="20"/>
            </w:pPr>
            <w:r/>
            <w:r>
              <w:rPr>
                <w:rFonts w:ascii="Aptos" w:hAnsi="Aptos"/>
                <w:b w:val="0"/>
                <w:sz w:val="17"/>
              </w:rPr>
              <w:t>Alerts</w:t>
            </w:r>
          </w:p>
        </w:tc>
        <w:tc>
          <w:tcPr>
            <w:tcW w:type="dxa" w:w="7344"/>
            <w:vAlign w:val="center"/>
          </w:tcPr>
          <w:p>
            <w:pPr>
              <w:spacing w:after="20" w:before="20"/>
            </w:pPr>
            <w:r/>
            <w:r>
              <w:rPr>
                <w:rFonts w:ascii="Aptos" w:hAnsi="Aptos"/>
                <w:b w:val="0"/>
                <w:sz w:val="17"/>
              </w:rPr>
              <w:t>Acknowledge, dismiss, escalate, and inspect alert history.</w:t>
            </w:r>
          </w:p>
        </w:tc>
      </w:tr>
      <w:tr>
        <w:trPr>
          <w:cantSplit/>
        </w:trPr>
        <w:tc>
          <w:tcPr>
            <w:tcW w:type="dxa" w:w="2160"/>
            <w:vAlign w:val="center"/>
          </w:tcPr>
          <w:p>
            <w:pPr>
              <w:spacing w:after="20" w:before="20"/>
            </w:pPr>
            <w:r/>
            <w:r>
              <w:rPr>
                <w:rFonts w:ascii="Aptos" w:hAnsi="Aptos"/>
                <w:b w:val="0"/>
                <w:sz w:val="17"/>
              </w:rPr>
              <w:t>Manual Review</w:t>
            </w:r>
          </w:p>
        </w:tc>
        <w:tc>
          <w:tcPr>
            <w:tcW w:type="dxa" w:w="7344"/>
            <w:vAlign w:val="center"/>
          </w:tcPr>
          <w:p>
            <w:pPr>
              <w:spacing w:after="20" w:before="20"/>
            </w:pPr>
            <w:r/>
            <w:r>
              <w:rPr>
                <w:rFonts w:ascii="Aptos" w:hAnsi="Aptos"/>
                <w:b w:val="0"/>
                <w:sz w:val="17"/>
              </w:rPr>
              <w:t>Listen to uncertain events and record reviewer decisions.</w:t>
            </w:r>
          </w:p>
        </w:tc>
      </w:tr>
      <w:tr>
        <w:trPr>
          <w:cantSplit/>
        </w:trPr>
        <w:tc>
          <w:tcPr>
            <w:tcW w:type="dxa" w:w="2160"/>
            <w:vAlign w:val="center"/>
          </w:tcPr>
          <w:p>
            <w:pPr>
              <w:spacing w:after="20" w:before="20"/>
            </w:pPr>
            <w:r/>
            <w:r>
              <w:rPr>
                <w:rFonts w:ascii="Aptos" w:hAnsi="Aptos"/>
                <w:b w:val="0"/>
                <w:sz w:val="17"/>
              </w:rPr>
              <w:t>Reports</w:t>
            </w:r>
          </w:p>
        </w:tc>
        <w:tc>
          <w:tcPr>
            <w:tcW w:type="dxa" w:w="7344"/>
            <w:vAlign w:val="center"/>
          </w:tcPr>
          <w:p>
            <w:pPr>
              <w:spacing w:after="20" w:before="20"/>
            </w:pPr>
            <w:r/>
            <w:r>
              <w:rPr>
                <w:rFonts w:ascii="Aptos" w:hAnsi="Aptos"/>
                <w:b w:val="0"/>
                <w:sz w:val="17"/>
              </w:rPr>
              <w:t>View detection analytics and saved model metrics.</w:t>
            </w:r>
          </w:p>
        </w:tc>
      </w:tr>
      <w:tr>
        <w:trPr>
          <w:cantSplit/>
        </w:trPr>
        <w:tc>
          <w:tcPr>
            <w:tcW w:type="dxa" w:w="2160"/>
            <w:vAlign w:val="center"/>
          </w:tcPr>
          <w:p>
            <w:pPr>
              <w:spacing w:after="20" w:before="20"/>
            </w:pPr>
            <w:r/>
            <w:r>
              <w:rPr>
                <w:rFonts w:ascii="Aptos" w:hAnsi="Aptos"/>
                <w:b w:val="0"/>
                <w:sz w:val="17"/>
              </w:rPr>
              <w:t>Admin</w:t>
            </w:r>
          </w:p>
        </w:tc>
        <w:tc>
          <w:tcPr>
            <w:tcW w:type="dxa" w:w="7344"/>
            <w:vAlign w:val="center"/>
          </w:tcPr>
          <w:p>
            <w:pPr>
              <w:spacing w:after="20" w:before="20"/>
            </w:pPr>
            <w:r/>
            <w:r>
              <w:rPr>
                <w:rFonts w:ascii="Aptos" w:hAnsi="Aptos"/>
                <w:b w:val="0"/>
                <w:sz w:val="17"/>
              </w:rPr>
              <w:t>Manage users, settings, alert configuration information, and audit records.</w:t>
            </w:r>
          </w:p>
        </w:tc>
      </w:tr>
    </w:tbl>
    <w:p>
      <w:pPr>
        <w:spacing w:after="0"/>
      </w:pPr>
    </w:p>
    <w:p>
      <w:pPr>
        <w:pStyle w:val="Heading2"/>
      </w:pPr>
      <w:r>
        <w:t>8.2 Roles</w:t>
      </w:r>
    </w:p>
    <w:tbl>
      <w:tblPr>
        <w:tblStyle w:val="LightShading-Accent1"/>
        <w:tblW w:type="auto" w:w="0"/>
        <w:jc w:val="center"/>
        <w:tblLook w:firstColumn="1" w:firstRow="1" w:lastColumn="0" w:lastRow="0" w:noHBand="0" w:noVBand="1" w:val="04A0"/>
      </w:tblPr>
      <w:tblGrid>
        <w:gridCol w:w="4968"/>
        <w:gridCol w:w="4968"/>
      </w:tblGrid>
      <w:tr>
        <w:trPr>
          <w:cantSplit/>
        </w:trPr>
        <w:tc>
          <w:tcPr>
            <w:tcW w:type="dxa" w:w="2160"/>
            <w:vAlign w:val="center"/>
            <w:shd w:fill="24577A"/>
          </w:tcPr>
          <w:p>
            <w:pPr>
              <w:spacing w:after="20" w:before="20"/>
            </w:pPr>
            <w:r/>
            <w:r>
              <w:rPr>
                <w:rFonts w:ascii="Aptos" w:hAnsi="Aptos"/>
                <w:b/>
                <w:color w:val="FFFFFF"/>
                <w:sz w:val="17"/>
              </w:rPr>
              <w:t>Role</w:t>
            </w:r>
          </w:p>
        </w:tc>
        <w:tc>
          <w:tcPr>
            <w:tcW w:type="dxa" w:w="7344"/>
            <w:vAlign w:val="center"/>
            <w:shd w:fill="24577A"/>
          </w:tcPr>
          <w:p>
            <w:pPr>
              <w:spacing w:after="20" w:before="20"/>
            </w:pPr>
            <w:r/>
            <w:r>
              <w:rPr>
                <w:rFonts w:ascii="Aptos" w:hAnsi="Aptos"/>
                <w:b/>
                <w:color w:val="FFFFFF"/>
                <w:sz w:val="17"/>
              </w:rPr>
              <w:t>Typical access</w:t>
            </w:r>
          </w:p>
        </w:tc>
      </w:tr>
      <w:tr>
        <w:trPr>
          <w:cantSplit/>
        </w:trPr>
        <w:tc>
          <w:tcPr>
            <w:tcW w:type="dxa" w:w="2160"/>
            <w:vAlign w:val="center"/>
          </w:tcPr>
          <w:p>
            <w:pPr>
              <w:spacing w:after="20" w:before="20"/>
            </w:pPr>
            <w:r/>
            <w:r>
              <w:rPr>
                <w:rFonts w:ascii="Aptos" w:hAnsi="Aptos"/>
                <w:b w:val="0"/>
                <w:sz w:val="17"/>
              </w:rPr>
              <w:t>User</w:t>
            </w:r>
          </w:p>
        </w:tc>
        <w:tc>
          <w:tcPr>
            <w:tcW w:type="dxa" w:w="7344"/>
            <w:vAlign w:val="center"/>
          </w:tcPr>
          <w:p>
            <w:pPr>
              <w:spacing w:after="20" w:before="20"/>
            </w:pPr>
            <w:r/>
            <w:r>
              <w:rPr>
                <w:rFonts w:ascii="Aptos" w:hAnsi="Aptos"/>
                <w:b w:val="0"/>
                <w:sz w:val="17"/>
              </w:rPr>
              <w:t>Upload and view events.</w:t>
            </w:r>
          </w:p>
        </w:tc>
      </w:tr>
      <w:tr>
        <w:trPr>
          <w:cantSplit/>
        </w:trPr>
        <w:tc>
          <w:tcPr>
            <w:tcW w:type="dxa" w:w="2160"/>
            <w:vAlign w:val="center"/>
          </w:tcPr>
          <w:p>
            <w:pPr>
              <w:spacing w:after="20" w:before="20"/>
            </w:pPr>
            <w:r/>
            <w:r>
              <w:rPr>
                <w:rFonts w:ascii="Aptos" w:hAnsi="Aptos"/>
                <w:b w:val="0"/>
                <w:sz w:val="17"/>
              </w:rPr>
              <w:t>Reviewer</w:t>
            </w:r>
          </w:p>
        </w:tc>
        <w:tc>
          <w:tcPr>
            <w:tcW w:type="dxa" w:w="7344"/>
            <w:vAlign w:val="center"/>
          </w:tcPr>
          <w:p>
            <w:pPr>
              <w:spacing w:after="20" w:before="20"/>
            </w:pPr>
            <w:r/>
            <w:r>
              <w:rPr>
                <w:rFonts w:ascii="Aptos" w:hAnsi="Aptos"/>
                <w:b w:val="0"/>
                <w:sz w:val="17"/>
              </w:rPr>
              <w:t>Review uncertain events and record decisions.</w:t>
            </w:r>
          </w:p>
        </w:tc>
      </w:tr>
      <w:tr>
        <w:trPr>
          <w:cantSplit/>
        </w:trPr>
        <w:tc>
          <w:tcPr>
            <w:tcW w:type="dxa" w:w="2160"/>
            <w:vAlign w:val="center"/>
          </w:tcPr>
          <w:p>
            <w:pPr>
              <w:spacing w:after="20" w:before="20"/>
            </w:pPr>
            <w:r/>
            <w:r>
              <w:rPr>
                <w:rFonts w:ascii="Aptos" w:hAnsi="Aptos"/>
                <w:b w:val="0"/>
                <w:sz w:val="17"/>
              </w:rPr>
              <w:t>Operator</w:t>
            </w:r>
          </w:p>
        </w:tc>
        <w:tc>
          <w:tcPr>
            <w:tcW w:type="dxa" w:w="7344"/>
            <w:vAlign w:val="center"/>
          </w:tcPr>
          <w:p>
            <w:pPr>
              <w:spacing w:after="20" w:before="20"/>
            </w:pPr>
            <w:r/>
            <w:r>
              <w:rPr>
                <w:rFonts w:ascii="Aptos" w:hAnsi="Aptos"/>
                <w:b w:val="0"/>
                <w:sz w:val="17"/>
              </w:rPr>
              <w:t>Handle alerts and support event review.</w:t>
            </w:r>
          </w:p>
        </w:tc>
      </w:tr>
      <w:tr>
        <w:trPr>
          <w:cantSplit/>
        </w:trPr>
        <w:tc>
          <w:tcPr>
            <w:tcW w:type="dxa" w:w="2160"/>
            <w:vAlign w:val="center"/>
          </w:tcPr>
          <w:p>
            <w:pPr>
              <w:spacing w:after="20" w:before="20"/>
            </w:pPr>
            <w:r/>
            <w:r>
              <w:rPr>
                <w:rFonts w:ascii="Aptos" w:hAnsi="Aptos"/>
                <w:b w:val="0"/>
                <w:sz w:val="17"/>
              </w:rPr>
              <w:t>Maintenance</w:t>
            </w:r>
          </w:p>
        </w:tc>
        <w:tc>
          <w:tcPr>
            <w:tcW w:type="dxa" w:w="7344"/>
            <w:vAlign w:val="center"/>
          </w:tcPr>
          <w:p>
            <w:pPr>
              <w:spacing w:after="20" w:before="20"/>
            </w:pPr>
            <w:r/>
            <w:r>
              <w:rPr>
                <w:rFonts w:ascii="Aptos" w:hAnsi="Aptos"/>
                <w:b w:val="0"/>
                <w:sz w:val="17"/>
              </w:rPr>
              <w:t>Handle maintenance-related alerts.</w:t>
            </w:r>
          </w:p>
        </w:tc>
      </w:tr>
      <w:tr>
        <w:trPr>
          <w:cantSplit/>
        </w:trPr>
        <w:tc>
          <w:tcPr>
            <w:tcW w:type="dxa" w:w="2160"/>
            <w:vAlign w:val="center"/>
          </w:tcPr>
          <w:p>
            <w:pPr>
              <w:spacing w:after="20" w:before="20"/>
            </w:pPr>
            <w:r/>
            <w:r>
              <w:rPr>
                <w:rFonts w:ascii="Aptos" w:hAnsi="Aptos"/>
                <w:b w:val="0"/>
                <w:sz w:val="17"/>
              </w:rPr>
              <w:t>Admin</w:t>
            </w:r>
          </w:p>
        </w:tc>
        <w:tc>
          <w:tcPr>
            <w:tcW w:type="dxa" w:w="7344"/>
            <w:vAlign w:val="center"/>
          </w:tcPr>
          <w:p>
            <w:pPr>
              <w:spacing w:after="20" w:before="20"/>
            </w:pPr>
            <w:r/>
            <w:r>
              <w:rPr>
                <w:rFonts w:ascii="Aptos" w:hAnsi="Aptos"/>
                <w:b w:val="0"/>
                <w:sz w:val="17"/>
              </w:rPr>
              <w:t>Manage users, settings, exports, and audit information.</w:t>
            </w:r>
          </w:p>
        </w:tc>
      </w:tr>
    </w:tbl>
    <w:p>
      <w:pPr>
        <w:spacing w:after="0"/>
      </w:pPr>
    </w:p>
    <w:p>
      <w:pPr>
        <w:pStyle w:val="Heading2"/>
      </w:pPr>
      <w:r>
        <w:t>8.3 Stored information</w:t>
      </w:r>
    </w:p>
    <w:p>
      <w:r>
        <w:t>The SQLite schema stores user accounts, audio metadata, detections, model scores, predictions, model versions, alerts, reviews, settings, and audit events. Detection records can include audio quality, confidence, agreement state, severity, alert state, and review status. Uploaded audio and related files are held in project data folders according to configured storage paths.</w:t>
      </w:r>
    </w:p>
    <w:p>
      <w:pPr>
        <w:pStyle w:val="Heading2"/>
      </w:pPr>
      <w:r>
        <w:t>8.4 Data dictionary summary</w:t>
      </w:r>
    </w:p>
    <w:tbl>
      <w:tblPr>
        <w:tblStyle w:val="LightShading-Accent1"/>
        <w:tblW w:type="auto" w:w="0"/>
        <w:jc w:val="center"/>
        <w:tblLook w:firstColumn="1" w:firstRow="1" w:lastColumn="0" w:lastRow="0" w:noHBand="0" w:noVBand="1" w:val="04A0"/>
      </w:tblPr>
      <w:tblGrid>
        <w:gridCol w:w="3312"/>
        <w:gridCol w:w="3312"/>
        <w:gridCol w:w="3312"/>
      </w:tblGrid>
      <w:tr>
        <w:trPr>
          <w:cantSplit/>
        </w:trPr>
        <w:tc>
          <w:tcPr>
            <w:tcW w:type="dxa" w:w="1944"/>
            <w:vAlign w:val="center"/>
            <w:shd w:fill="24577A"/>
          </w:tcPr>
          <w:p>
            <w:pPr>
              <w:spacing w:after="20" w:before="20"/>
            </w:pPr>
            <w:r/>
            <w:r>
              <w:rPr>
                <w:rFonts w:ascii="Aptos" w:hAnsi="Aptos"/>
                <w:b/>
                <w:color w:val="FFFFFF"/>
                <w:sz w:val="17"/>
              </w:rPr>
              <w:t>Record</w:t>
            </w:r>
          </w:p>
        </w:tc>
        <w:tc>
          <w:tcPr>
            <w:tcW w:type="dxa" w:w="4464"/>
            <w:vAlign w:val="center"/>
            <w:shd w:fill="24577A"/>
          </w:tcPr>
          <w:p>
            <w:pPr>
              <w:spacing w:after="20" w:before="20"/>
            </w:pPr>
            <w:r/>
            <w:r>
              <w:rPr>
                <w:rFonts w:ascii="Aptos" w:hAnsi="Aptos"/>
                <w:b/>
                <w:color w:val="FFFFFF"/>
                <w:sz w:val="17"/>
              </w:rPr>
              <w:t>Key fields</w:t>
            </w:r>
          </w:p>
        </w:tc>
        <w:tc>
          <w:tcPr>
            <w:tcW w:type="dxa" w:w="3096"/>
            <w:vAlign w:val="center"/>
            <w:shd w:fill="24577A"/>
          </w:tcPr>
          <w:p>
            <w:pPr>
              <w:spacing w:after="20" w:before="20"/>
            </w:pPr>
            <w:r/>
            <w:r>
              <w:rPr>
                <w:rFonts w:ascii="Aptos" w:hAnsi="Aptos"/>
                <w:b/>
                <w:color w:val="FFFFFF"/>
                <w:sz w:val="17"/>
              </w:rPr>
              <w:t>Use</w:t>
            </w:r>
          </w:p>
        </w:tc>
      </w:tr>
      <w:tr>
        <w:trPr>
          <w:cantSplit/>
        </w:trPr>
        <w:tc>
          <w:tcPr>
            <w:tcW w:type="dxa" w:w="1944"/>
            <w:vAlign w:val="center"/>
          </w:tcPr>
          <w:p>
            <w:pPr>
              <w:spacing w:after="20" w:before="20"/>
            </w:pPr>
            <w:r/>
            <w:r>
              <w:rPr>
                <w:rFonts w:ascii="Aptos" w:hAnsi="Aptos"/>
                <w:b w:val="0"/>
                <w:sz w:val="17"/>
              </w:rPr>
              <w:t>Audio file</w:t>
            </w:r>
          </w:p>
        </w:tc>
        <w:tc>
          <w:tcPr>
            <w:tcW w:type="dxa" w:w="4464"/>
            <w:vAlign w:val="center"/>
          </w:tcPr>
          <w:p>
            <w:pPr>
              <w:spacing w:after="20" w:before="20"/>
            </w:pPr>
            <w:r/>
            <w:r>
              <w:rPr>
                <w:rFonts w:ascii="Aptos" w:hAnsi="Aptos"/>
                <w:b w:val="0"/>
                <w:sz w:val="17"/>
              </w:rPr>
              <w:t>Audio ID, filename, format, duration, sample rate, channels, size, hash, upload time.</w:t>
            </w:r>
          </w:p>
        </w:tc>
        <w:tc>
          <w:tcPr>
            <w:tcW w:type="dxa" w:w="3096"/>
            <w:vAlign w:val="center"/>
          </w:tcPr>
          <w:p>
            <w:pPr>
              <w:spacing w:after="20" w:before="20"/>
            </w:pPr>
            <w:r/>
            <w:r>
              <w:rPr>
                <w:rFonts w:ascii="Aptos" w:hAnsi="Aptos"/>
                <w:b w:val="0"/>
                <w:sz w:val="17"/>
              </w:rPr>
              <w:t>Describe the source recording and identify duplicate files.</w:t>
            </w:r>
          </w:p>
        </w:tc>
      </w:tr>
      <w:tr>
        <w:trPr>
          <w:cantSplit/>
        </w:trPr>
        <w:tc>
          <w:tcPr>
            <w:tcW w:type="dxa" w:w="1944"/>
            <w:vAlign w:val="center"/>
          </w:tcPr>
          <w:p>
            <w:pPr>
              <w:spacing w:after="20" w:before="20"/>
            </w:pPr>
            <w:r/>
            <w:r>
              <w:rPr>
                <w:rFonts w:ascii="Aptos" w:hAnsi="Aptos"/>
                <w:b w:val="0"/>
                <w:sz w:val="17"/>
              </w:rPr>
              <w:t>Detection</w:t>
            </w:r>
          </w:p>
        </w:tc>
        <w:tc>
          <w:tcPr>
            <w:tcW w:type="dxa" w:w="4464"/>
            <w:vAlign w:val="center"/>
          </w:tcPr>
          <w:p>
            <w:pPr>
              <w:spacing w:after="20" w:before="20"/>
            </w:pPr>
            <w:r/>
            <w:r>
              <w:rPr>
                <w:rFonts w:ascii="Aptos" w:hAnsi="Aptos"/>
                <w:b w:val="0"/>
                <w:sz w:val="17"/>
              </w:rPr>
              <w:t>Detection ID, audio ID, segment time, class scores, model versions, quality, severity, status.</w:t>
            </w:r>
          </w:p>
        </w:tc>
        <w:tc>
          <w:tcPr>
            <w:tcW w:type="dxa" w:w="3096"/>
            <w:vAlign w:val="center"/>
          </w:tcPr>
          <w:p>
            <w:pPr>
              <w:spacing w:after="20" w:before="20"/>
            </w:pPr>
            <w:r/>
            <w:r>
              <w:rPr>
                <w:rFonts w:ascii="Aptos" w:hAnsi="Aptos"/>
                <w:b w:val="0"/>
                <w:sz w:val="17"/>
              </w:rPr>
              <w:t>Keep a traceable result for each analyzed segment.</w:t>
            </w:r>
          </w:p>
        </w:tc>
      </w:tr>
      <w:tr>
        <w:trPr>
          <w:cantSplit/>
        </w:trPr>
        <w:tc>
          <w:tcPr>
            <w:tcW w:type="dxa" w:w="1944"/>
            <w:vAlign w:val="center"/>
          </w:tcPr>
          <w:p>
            <w:pPr>
              <w:spacing w:after="20" w:before="20"/>
            </w:pPr>
            <w:r/>
            <w:r>
              <w:rPr>
                <w:rFonts w:ascii="Aptos" w:hAnsi="Aptos"/>
                <w:b w:val="0"/>
                <w:sz w:val="17"/>
              </w:rPr>
              <w:t>Alert</w:t>
            </w:r>
          </w:p>
        </w:tc>
        <w:tc>
          <w:tcPr>
            <w:tcW w:type="dxa" w:w="4464"/>
            <w:vAlign w:val="center"/>
          </w:tcPr>
          <w:p>
            <w:pPr>
              <w:spacing w:after="20" w:before="20"/>
            </w:pPr>
            <w:r/>
            <w:r>
              <w:rPr>
                <w:rFonts w:ascii="Aptos" w:hAnsi="Aptos"/>
                <w:b w:val="0"/>
                <w:sz w:val="17"/>
              </w:rPr>
              <w:t>Alert ID, detection ID, severity, status, assigned user, timestamps.</w:t>
            </w:r>
          </w:p>
        </w:tc>
        <w:tc>
          <w:tcPr>
            <w:tcW w:type="dxa" w:w="3096"/>
            <w:vAlign w:val="center"/>
          </w:tcPr>
          <w:p>
            <w:pPr>
              <w:spacing w:after="20" w:before="20"/>
            </w:pPr>
            <w:r/>
            <w:r>
              <w:rPr>
                <w:rFonts w:ascii="Aptos" w:hAnsi="Aptos"/>
                <w:b w:val="0"/>
                <w:sz w:val="17"/>
              </w:rPr>
              <w:t>Track acknowledgment, dismissal, or escalation.</w:t>
            </w:r>
          </w:p>
        </w:tc>
      </w:tr>
      <w:tr>
        <w:trPr>
          <w:cantSplit/>
        </w:trPr>
        <w:tc>
          <w:tcPr>
            <w:tcW w:type="dxa" w:w="1944"/>
            <w:vAlign w:val="center"/>
          </w:tcPr>
          <w:p>
            <w:pPr>
              <w:spacing w:after="20" w:before="20"/>
            </w:pPr>
            <w:r/>
            <w:r>
              <w:rPr>
                <w:rFonts w:ascii="Aptos" w:hAnsi="Aptos"/>
                <w:b w:val="0"/>
                <w:sz w:val="17"/>
              </w:rPr>
              <w:t>Review</w:t>
            </w:r>
          </w:p>
        </w:tc>
        <w:tc>
          <w:tcPr>
            <w:tcW w:type="dxa" w:w="4464"/>
            <w:vAlign w:val="center"/>
          </w:tcPr>
          <w:p>
            <w:pPr>
              <w:spacing w:after="20" w:before="20"/>
            </w:pPr>
            <w:r/>
            <w:r>
              <w:rPr>
                <w:rFonts w:ascii="Aptos" w:hAnsi="Aptos"/>
                <w:b w:val="0"/>
                <w:sz w:val="17"/>
              </w:rPr>
              <w:t>Review ID, detection ID, reviewer, decision, corrected class, comment, time.</w:t>
            </w:r>
          </w:p>
        </w:tc>
        <w:tc>
          <w:tcPr>
            <w:tcW w:type="dxa" w:w="3096"/>
            <w:vAlign w:val="center"/>
          </w:tcPr>
          <w:p>
            <w:pPr>
              <w:spacing w:after="20" w:before="20"/>
            </w:pPr>
            <w:r/>
            <w:r>
              <w:rPr>
                <w:rFonts w:ascii="Aptos" w:hAnsi="Aptos"/>
                <w:b w:val="0"/>
                <w:sz w:val="17"/>
              </w:rPr>
              <w:t>Preserve a human confirmation or correction.</w:t>
            </w:r>
          </w:p>
        </w:tc>
      </w:tr>
      <w:tr>
        <w:trPr>
          <w:cantSplit/>
        </w:trPr>
        <w:tc>
          <w:tcPr>
            <w:tcW w:type="dxa" w:w="1944"/>
            <w:vAlign w:val="center"/>
          </w:tcPr>
          <w:p>
            <w:pPr>
              <w:spacing w:after="20" w:before="20"/>
            </w:pPr>
            <w:r/>
            <w:r>
              <w:rPr>
                <w:rFonts w:ascii="Aptos" w:hAnsi="Aptos"/>
                <w:b w:val="0"/>
                <w:sz w:val="17"/>
              </w:rPr>
              <w:t>User and audit</w:t>
            </w:r>
          </w:p>
        </w:tc>
        <w:tc>
          <w:tcPr>
            <w:tcW w:type="dxa" w:w="4464"/>
            <w:vAlign w:val="center"/>
          </w:tcPr>
          <w:p>
            <w:pPr>
              <w:spacing w:after="20" w:before="20"/>
            </w:pPr>
            <w:r/>
            <w:r>
              <w:rPr>
                <w:rFonts w:ascii="Aptos" w:hAnsi="Aptos"/>
                <w:b w:val="0"/>
                <w:sz w:val="17"/>
              </w:rPr>
              <w:t>User ID, role, account details; action, actor, record, and time.</w:t>
            </w:r>
          </w:p>
        </w:tc>
        <w:tc>
          <w:tcPr>
            <w:tcW w:type="dxa" w:w="3096"/>
            <w:vAlign w:val="center"/>
          </w:tcPr>
          <w:p>
            <w:pPr>
              <w:spacing w:after="20" w:before="20"/>
            </w:pPr>
            <w:r/>
            <w:r>
              <w:rPr>
                <w:rFonts w:ascii="Aptos" w:hAnsi="Aptos"/>
                <w:b w:val="0"/>
                <w:sz w:val="17"/>
              </w:rPr>
              <w:t>Control access and record important account actions.</w:t>
            </w:r>
          </w:p>
        </w:tc>
      </w:tr>
    </w:tbl>
    <w:p>
      <w:pPr>
        <w:spacing w:after="0"/>
      </w:pPr>
    </w:p>
    <w:p>
      <w:pPr>
        <w:pStyle w:val="Heading1"/>
      </w:pPr>
      <w:r>
        <w:t>9 Evaluation Results</w:t>
      </w:r>
    </w:p>
    <w:p>
      <w:pPr>
        <w:pStyle w:val="Heading2"/>
      </w:pPr>
      <w:r>
        <w:t>9.1 Summary</w:t>
      </w:r>
    </w:p>
    <w:tbl>
      <w:tblPr>
        <w:tblStyle w:val="LightShading-Accent1"/>
        <w:tblW w:type="auto" w:w="0"/>
        <w:jc w:val="center"/>
        <w:tblLook w:firstColumn="1" w:firstRow="1" w:lastColumn="0" w:lastRow="0" w:noHBand="0" w:noVBand="1" w:val="04A0"/>
      </w:tblPr>
      <w:tblGrid>
        <w:gridCol w:w="3312"/>
        <w:gridCol w:w="3312"/>
        <w:gridCol w:w="3312"/>
      </w:tblGrid>
      <w:tr>
        <w:trPr>
          <w:cantSplit/>
        </w:trPr>
        <w:tc>
          <w:tcPr>
            <w:tcW w:type="dxa" w:w="2160"/>
            <w:vAlign w:val="center"/>
            <w:shd w:fill="24577A"/>
          </w:tcPr>
          <w:p>
            <w:pPr>
              <w:spacing w:after="20" w:before="20"/>
            </w:pPr>
            <w:r/>
            <w:r>
              <w:rPr>
                <w:rFonts w:ascii="Aptos" w:hAnsi="Aptos"/>
                <w:b/>
                <w:color w:val="FFFFFF"/>
                <w:sz w:val="17"/>
              </w:rPr>
              <w:t>Area</w:t>
            </w:r>
          </w:p>
        </w:tc>
        <w:tc>
          <w:tcPr>
            <w:tcW w:type="dxa" w:w="4464"/>
            <w:vAlign w:val="center"/>
            <w:shd w:fill="24577A"/>
          </w:tcPr>
          <w:p>
            <w:pPr>
              <w:spacing w:after="20" w:before="20"/>
            </w:pPr>
            <w:r/>
            <w:r>
              <w:rPr>
                <w:rFonts w:ascii="Aptos" w:hAnsi="Aptos"/>
                <w:b/>
                <w:color w:val="FFFFFF"/>
                <w:sz w:val="17"/>
              </w:rPr>
              <w:t>Evidence in project</w:t>
            </w:r>
          </w:p>
        </w:tc>
        <w:tc>
          <w:tcPr>
            <w:tcW w:type="dxa" w:w="2880"/>
            <w:vAlign w:val="center"/>
            <w:shd w:fill="24577A"/>
          </w:tcPr>
          <w:p>
            <w:pPr>
              <w:spacing w:after="20" w:before="20"/>
            </w:pPr>
            <w:r/>
            <w:r>
              <w:rPr>
                <w:rFonts w:ascii="Aptos" w:hAnsi="Aptos"/>
                <w:b/>
                <w:color w:val="FFFFFF"/>
                <w:sz w:val="17"/>
              </w:rPr>
              <w:t>Status against SRS</w:t>
            </w:r>
          </w:p>
        </w:tc>
      </w:tr>
      <w:tr>
        <w:trPr>
          <w:cantSplit/>
        </w:trPr>
        <w:tc>
          <w:tcPr>
            <w:tcW w:type="dxa" w:w="2160"/>
            <w:vAlign w:val="center"/>
          </w:tcPr>
          <w:p>
            <w:pPr>
              <w:spacing w:after="20" w:before="20"/>
            </w:pPr>
            <w:r/>
            <w:r>
              <w:rPr>
                <w:rFonts w:ascii="Aptos" w:hAnsi="Aptos"/>
                <w:b w:val="0"/>
                <w:sz w:val="17"/>
              </w:rPr>
              <w:t>Python model candidates</w:t>
            </w:r>
          </w:p>
        </w:tc>
        <w:tc>
          <w:tcPr>
            <w:tcW w:type="dxa" w:w="4464"/>
            <w:vAlign w:val="center"/>
          </w:tcPr>
          <w:p>
            <w:pPr>
              <w:spacing w:after="20" w:before="20"/>
            </w:pPr>
            <w:r/>
            <w:r>
              <w:rPr>
                <w:rFonts w:ascii="Aptos" w:hAnsi="Aptos"/>
                <w:b w:val="0"/>
                <w:sz w:val="17"/>
              </w:rPr>
              <w:t>Five saved test metric files.</w:t>
            </w:r>
          </w:p>
        </w:tc>
        <w:tc>
          <w:tcPr>
            <w:tcW w:type="dxa" w:w="2880"/>
            <w:vAlign w:val="center"/>
          </w:tcPr>
          <w:p>
            <w:pPr>
              <w:spacing w:after="20" w:before="20"/>
            </w:pPr>
            <w:r/>
            <w:r>
              <w:rPr>
                <w:rFonts w:ascii="Aptos" w:hAnsi="Aptos"/>
                <w:b w:val="0"/>
                <w:sz w:val="17"/>
              </w:rPr>
              <w:t>At least three compared.</w:t>
            </w:r>
          </w:p>
        </w:tc>
      </w:tr>
      <w:tr>
        <w:trPr>
          <w:cantSplit/>
        </w:trPr>
        <w:tc>
          <w:tcPr>
            <w:tcW w:type="dxa" w:w="2160"/>
            <w:vAlign w:val="center"/>
          </w:tcPr>
          <w:p>
            <w:pPr>
              <w:spacing w:after="20" w:before="20"/>
            </w:pPr>
            <w:r/>
            <w:r>
              <w:rPr>
                <w:rFonts w:ascii="Aptos" w:hAnsi="Aptos"/>
                <w:b w:val="0"/>
                <w:sz w:val="17"/>
              </w:rPr>
              <w:t>Default Python model</w:t>
            </w:r>
          </w:p>
        </w:tc>
        <w:tc>
          <w:tcPr>
            <w:tcW w:type="dxa" w:w="4464"/>
            <w:vAlign w:val="center"/>
          </w:tcPr>
          <w:p>
            <w:pPr>
              <w:spacing w:after="20" w:before="20"/>
            </w:pPr>
            <w:r/>
            <w:r>
              <w:rPr>
                <w:rFonts w:ascii="Aptos" w:hAnsi="Aptos"/>
                <w:b w:val="0"/>
                <w:sz w:val="17"/>
              </w:rPr>
              <w:t>XGBoost: 74.83% accuracy and 0.7455 macro F1.</w:t>
            </w:r>
          </w:p>
        </w:tc>
        <w:tc>
          <w:tcPr>
            <w:tcW w:type="dxa" w:w="2880"/>
            <w:vAlign w:val="center"/>
          </w:tcPr>
          <w:p>
            <w:pPr>
              <w:spacing w:after="20" w:before="20"/>
            </w:pPr>
            <w:r/>
            <w:r>
              <w:rPr>
                <w:rFonts w:ascii="Aptos" w:hAnsi="Aptos"/>
                <w:b w:val="0"/>
                <w:sz w:val="17"/>
              </w:rPr>
              <w:t>Does not meet the overall targets.</w:t>
            </w:r>
          </w:p>
        </w:tc>
      </w:tr>
      <w:tr>
        <w:trPr>
          <w:cantSplit/>
        </w:trPr>
        <w:tc>
          <w:tcPr>
            <w:tcW w:type="dxa" w:w="2160"/>
            <w:vAlign w:val="center"/>
          </w:tcPr>
          <w:p>
            <w:pPr>
              <w:spacing w:after="20" w:before="20"/>
            </w:pPr>
            <w:r/>
            <w:r>
              <w:rPr>
                <w:rFonts w:ascii="Aptos" w:hAnsi="Aptos"/>
                <w:b w:val="0"/>
                <w:sz w:val="17"/>
              </w:rPr>
              <w:t>YAMNet transfer experiment</w:t>
            </w:r>
          </w:p>
        </w:tc>
        <w:tc>
          <w:tcPr>
            <w:tcW w:type="dxa" w:w="4464"/>
            <w:vAlign w:val="center"/>
          </w:tcPr>
          <w:p>
            <w:pPr>
              <w:spacing w:after="20" w:before="20"/>
            </w:pPr>
            <w:r/>
            <w:r>
              <w:rPr>
                <w:rFonts w:ascii="Aptos" w:hAnsi="Aptos"/>
                <w:b w:val="0"/>
                <w:sz w:val="17"/>
              </w:rPr>
              <w:t>90.02% accuracy and 0.9000 macro F1 on 451 segments.</w:t>
            </w:r>
          </w:p>
        </w:tc>
        <w:tc>
          <w:tcPr>
            <w:tcW w:type="dxa" w:w="2880"/>
            <w:vAlign w:val="center"/>
          </w:tcPr>
          <w:p>
            <w:pPr>
              <w:spacing w:after="20" w:before="20"/>
            </w:pPr>
            <w:r/>
            <w:r>
              <w:rPr>
                <w:rFonts w:ascii="Aptos" w:hAnsi="Aptos"/>
                <w:b w:val="0"/>
                <w:sz w:val="17"/>
              </w:rPr>
              <w:t>Numerically clears thresholds, but needs like-for-like recording-level evaluation.</w:t>
            </w:r>
          </w:p>
        </w:tc>
      </w:tr>
      <w:tr>
        <w:trPr>
          <w:cantSplit/>
        </w:trPr>
        <w:tc>
          <w:tcPr>
            <w:tcW w:type="dxa" w:w="2160"/>
            <w:vAlign w:val="center"/>
          </w:tcPr>
          <w:p>
            <w:pPr>
              <w:spacing w:after="20" w:before="20"/>
            </w:pPr>
            <w:r/>
            <w:r>
              <w:rPr>
                <w:rFonts w:ascii="Aptos" w:hAnsi="Aptos"/>
                <w:b w:val="0"/>
                <w:sz w:val="17"/>
              </w:rPr>
              <w:t>Teachable Machine browser model</w:t>
            </w:r>
          </w:p>
        </w:tc>
        <w:tc>
          <w:tcPr>
            <w:tcW w:type="dxa" w:w="4464"/>
            <w:vAlign w:val="center"/>
          </w:tcPr>
          <w:p>
            <w:pPr>
              <w:spacing w:after="20" w:before="20"/>
            </w:pPr>
            <w:r/>
            <w:r>
              <w:rPr>
                <w:rFonts w:ascii="Aptos" w:hAnsi="Aptos"/>
                <w:b w:val="0"/>
                <w:sz w:val="17"/>
              </w:rPr>
              <w:t>Saved prediction table with 445 examples, accuracy 35.96%, macro F1 0.3421.</w:t>
            </w:r>
          </w:p>
        </w:tc>
        <w:tc>
          <w:tcPr>
            <w:tcW w:type="dxa" w:w="2880"/>
            <w:vAlign w:val="center"/>
          </w:tcPr>
          <w:p>
            <w:pPr>
              <w:spacing w:after="20" w:before="20"/>
            </w:pPr>
            <w:r/>
            <w:r>
              <w:rPr>
                <w:rFonts w:ascii="Aptos" w:hAnsi="Aptos"/>
                <w:b w:val="0"/>
                <w:sz w:val="17"/>
              </w:rPr>
              <w:t>Does not meet the overall targets.</w:t>
            </w:r>
          </w:p>
        </w:tc>
      </w:tr>
      <w:tr>
        <w:trPr>
          <w:cantSplit/>
        </w:trPr>
        <w:tc>
          <w:tcPr>
            <w:tcW w:type="dxa" w:w="2160"/>
            <w:vAlign w:val="center"/>
          </w:tcPr>
          <w:p>
            <w:pPr>
              <w:spacing w:after="20" w:before="20"/>
            </w:pPr>
            <w:r/>
            <w:r>
              <w:rPr>
                <w:rFonts w:ascii="Aptos" w:hAnsi="Aptos"/>
                <w:b w:val="0"/>
                <w:sz w:val="17"/>
              </w:rPr>
              <w:t>Browser CNN experiment</w:t>
            </w:r>
          </w:p>
        </w:tc>
        <w:tc>
          <w:tcPr>
            <w:tcW w:type="dxa" w:w="4464"/>
            <w:vAlign w:val="center"/>
          </w:tcPr>
          <w:p>
            <w:pPr>
              <w:spacing w:after="20" w:before="20"/>
            </w:pPr>
            <w:r/>
            <w:r>
              <w:rPr>
                <w:rFonts w:ascii="Aptos" w:hAnsi="Aptos"/>
                <w:b w:val="0"/>
                <w:sz w:val="17"/>
              </w:rPr>
              <w:t>Separate saved test metrics in reports.</w:t>
            </w:r>
          </w:p>
        </w:tc>
        <w:tc>
          <w:tcPr>
            <w:tcW w:type="dxa" w:w="2880"/>
            <w:vAlign w:val="center"/>
          </w:tcPr>
          <w:p>
            <w:pPr>
              <w:spacing w:after="20" w:before="20"/>
            </w:pPr>
            <w:r/>
            <w:r>
              <w:rPr>
                <w:rFonts w:ascii="Aptos" w:hAnsi="Aptos"/>
                <w:b w:val="0"/>
                <w:sz w:val="17"/>
              </w:rPr>
              <w:t>Experiment only; not current Teachable Machine integration.</w:t>
            </w:r>
          </w:p>
        </w:tc>
      </w:tr>
      <w:tr>
        <w:trPr>
          <w:cantSplit/>
        </w:trPr>
        <w:tc>
          <w:tcPr>
            <w:tcW w:type="dxa" w:w="2160"/>
            <w:vAlign w:val="center"/>
          </w:tcPr>
          <w:p>
            <w:pPr>
              <w:spacing w:after="20" w:before="20"/>
            </w:pPr>
            <w:r/>
            <w:r>
              <w:rPr>
                <w:rFonts w:ascii="Aptos" w:hAnsi="Aptos"/>
                <w:b w:val="0"/>
                <w:sz w:val="17"/>
              </w:rPr>
              <w:t>Runtime and scale targets</w:t>
            </w:r>
          </w:p>
        </w:tc>
        <w:tc>
          <w:tcPr>
            <w:tcW w:type="dxa" w:w="4464"/>
            <w:vAlign w:val="center"/>
          </w:tcPr>
          <w:p>
            <w:pPr>
              <w:spacing w:after="20" w:before="20"/>
            </w:pPr>
            <w:r/>
            <w:r>
              <w:rPr>
                <w:rFonts w:ascii="Aptos" w:hAnsi="Aptos"/>
                <w:b w:val="0"/>
                <w:sz w:val="17"/>
              </w:rPr>
              <w:t>No saved benchmark for 8-second upload processing, 3-second live response, 20,000 records, concurrent users, or 99%% uptime.</w:t>
            </w:r>
          </w:p>
        </w:tc>
        <w:tc>
          <w:tcPr>
            <w:tcW w:type="dxa" w:w="2880"/>
            <w:vAlign w:val="center"/>
          </w:tcPr>
          <w:p>
            <w:pPr>
              <w:spacing w:after="20" w:before="20"/>
            </w:pPr>
            <w:r/>
            <w:r>
              <w:rPr>
                <w:rFonts w:ascii="Aptos" w:hAnsi="Aptos"/>
                <w:b w:val="0"/>
                <w:sz w:val="17"/>
              </w:rPr>
              <w:t>Not verified.</w:t>
            </w:r>
          </w:p>
        </w:tc>
      </w:tr>
      <w:tr>
        <w:trPr>
          <w:cantSplit/>
        </w:trPr>
        <w:tc>
          <w:tcPr>
            <w:tcW w:type="dxa" w:w="2160"/>
            <w:vAlign w:val="center"/>
          </w:tcPr>
          <w:p>
            <w:pPr>
              <w:spacing w:after="20" w:before="20"/>
            </w:pPr>
            <w:r/>
            <w:r>
              <w:rPr>
                <w:rFonts w:ascii="Aptos" w:hAnsi="Aptos"/>
                <w:b w:val="0"/>
                <w:sz w:val="17"/>
              </w:rPr>
              <w:t>Comparison report</w:t>
            </w:r>
          </w:p>
        </w:tc>
        <w:tc>
          <w:tcPr>
            <w:tcW w:type="dxa" w:w="4464"/>
            <w:vAlign w:val="center"/>
          </w:tcPr>
          <w:p>
            <w:pPr>
              <w:spacing w:after="20" w:before="20"/>
            </w:pPr>
            <w:r/>
            <w:r>
              <w:rPr>
                <w:rFonts w:ascii="Aptos" w:hAnsi="Aptos"/>
                <w:b w:val="0"/>
                <w:sz w:val="17"/>
              </w:rPr>
              <w:t>Prediction exports exist.</w:t>
            </w:r>
          </w:p>
        </w:tc>
        <w:tc>
          <w:tcPr>
            <w:tcW w:type="dxa" w:w="2880"/>
            <w:vAlign w:val="center"/>
          </w:tcPr>
          <w:p>
            <w:pPr>
              <w:spacing w:after="20" w:before="20"/>
            </w:pPr>
            <w:r/>
            <w:r>
              <w:rPr>
                <w:rFonts w:ascii="Aptos" w:hAnsi="Aptos"/>
                <w:b w:val="0"/>
                <w:sz w:val="17"/>
              </w:rPr>
              <w:t>Verify completeness against the SRS 100-recording, ten-per-class report and required fields.</w:t>
            </w:r>
          </w:p>
        </w:tc>
      </w:tr>
    </w:tbl>
    <w:p>
      <w:pPr>
        <w:spacing w:after="0"/>
      </w:pPr>
    </w:p>
    <w:p>
      <w:r>
        <w:t>The project is functional as a prototype, but the performance requirement for both models is not met by configured XGBoost and Teachable Machine results. The YAMNet transfer result is promising but needs a comparable, recording-level evaluation and confirmation as the application model before reporting the requirement as met.</w:t>
      </w:r>
    </w:p>
    <w:p>
      <w:pPr>
        <w:pStyle w:val="Heading2"/>
      </w:pPr>
      <w:r>
        <w:t>9.2 Test evidence</w:t>
      </w:r>
    </w:p>
    <w:p>
      <w:r>
        <w:t>The rough draft reports an automated test suite with 168 passing tests, including preprocessing, validation, feature extraction, model loading, decision logic, routes, and browser label mapping. This review did not rerun that suite. The repository includes test files, but the count should be refreshed before a competition submission.</w:t>
      </w:r>
    </w:p>
    <w:p>
      <w:pPr>
        <w:pStyle w:val="Heading2"/>
      </w:pPr>
      <w:r>
        <w:t>9.3 Error and noise review</w:t>
      </w:r>
    </w:p>
    <w:p>
      <w:r>
        <w:t>The XGBoost confusion matrix shows that 33 of 45 gunshot examples were correct. The remaining examples were labeled Background Noise, Glass Breaking, or Machinery Fault. For Background Noise, 22 of 45 examples were correct, with false positives spread across Machinery Fault, Gunshot, Alarm or Siren, and other classes. False positives can consume operator attention, while false negatives can hide a real event.</w:t>
      </w:r>
    </w:p>
    <w:p>
      <w:r>
        <w:t>Saved noise-robustness values are available for some experiments, including Logistic Regression and Random Forest, but the XGBoost metric file has no noise-robustness measurements. The project therefore does not yet provide a complete noise-robustness comparison for its default model.</w:t>
      </w:r>
    </w:p>
    <w:p>
      <w:pPr>
        <w:pStyle w:val="Heading1"/>
      </w:pPr>
      <w:r>
        <w:t>10 Security Privacy and Responsible Use</w:t>
      </w:r>
    </w:p>
    <w:p>
      <w:r>
        <w:t>The application hashes passwords and checks roles before allowing protected actions. It records activity such as registration, review, model results, exports, and alert handling in an audit table. Microphone capture starts only after the user grants browser permission, and the interface displays microphone status.</w:t>
      </w:r>
    </w:p>
    <w:p>
      <w:r>
        <w:t>The source project is configured for local storage in SQLite and local project folders. If the Flask application or Teachable Machine model is hosted remotely, administrators should review where uploaded audio, derived segments, database files, and model downloads are stored. The application must not be used for covert recording or treated as an emergency service.</w:t>
      </w:r>
    </w:p>
    <w:p>
      <w:r>
        <w:t>The SRS requires disclosure of AI tools used during development in AI_USAGE.md. That file is empty in the reviewed project folder, so the team should complete it before submission. This documentation rewrite does not make that separate source-file change.</w:t>
      </w:r>
    </w:p>
    <w:p>
      <w:pPr>
        <w:pStyle w:val="Heading1"/>
      </w:pPr>
      <w:r>
        <w:t>11 Limitations and Improvements</w:t>
      </w:r>
    </w:p>
    <w:p>
      <w:pPr>
        <w:pStyle w:val="ListNumber"/>
      </w:pPr>
      <w:r>
        <w:t>Improve Gunshot recall for configured XGBoost, which is 73.33% on saved clip-level test results.</w:t>
      </w:r>
    </w:p>
    <w:p>
      <w:pPr>
        <w:pStyle w:val="ListNumber"/>
      </w:pPr>
      <w:r>
        <w:t>Improve Teachable Machine performance and document training sample counts, settings, export version, and evaluation method.</w:t>
      </w:r>
    </w:p>
    <w:p>
      <w:pPr>
        <w:pStyle w:val="ListNumber"/>
      </w:pPr>
      <w:r>
        <w:t>Evaluate all models on the same held-out original recordings using the same unit of analysis.</w:t>
      </w:r>
    </w:p>
    <w:p>
      <w:pPr>
        <w:pStyle w:val="ListNumber"/>
      </w:pPr>
      <w:r>
        <w:t>Confirm which Python model should be active, then align model files, configuration, reports, and demonstration.</w:t>
      </w:r>
    </w:p>
    <w:p>
      <w:pPr>
        <w:pStyle w:val="ListNumber"/>
      </w:pPr>
      <w:r>
        <w:t>Measure upload and live prediction latency against SRS time limits.</w:t>
      </w:r>
    </w:p>
    <w:p>
      <w:pPr>
        <w:pStyle w:val="ListNumber"/>
      </w:pPr>
      <w:r>
        <w:t>Test storage growth, concurrent users, retention behavior, and recovery before making scale or availability claims.</w:t>
      </w:r>
    </w:p>
    <w:p>
      <w:pPr>
        <w:pStyle w:val="ListNumber"/>
      </w:pPr>
      <w:r>
        <w:t>Complete the SRS comparison report with at least 100 unseen recordings, ten per class, full confidence vectors, quality, decision, and error analysis.</w:t>
      </w:r>
    </w:p>
    <w:p>
      <w:pPr>
        <w:pStyle w:val="ListNumber"/>
      </w:pPr>
      <w:r>
        <w:t>Complete AI_USAGE.md and retain a development log and model evidence required by the competition.</w:t>
      </w:r>
    </w:p>
    <w:p>
      <w:pPr>
        <w:pStyle w:val="Heading1"/>
      </w:pPr>
      <w:r>
        <w:t>12 Running the Project</w:t>
      </w:r>
    </w:p>
    <w:p>
      <w:r>
        <w:t>The project README is the source for installation and operation details. In brief, install the requirements in an isolated Python environment, prepare the SQLite database, place the trained Python model and Teachable Machine export in their configured folders, and start app.py. Open the local Flask address in a supported browser. Live monitoring requires microphone permission.</w:t>
      </w:r>
    </w:p>
    <w:p>
      <w:r>
        <w:t>The first account created becomes the administrator. Keep the development secret key out of shared deployments and configure a secure secret key before exposing the application beyond a trusted local environment. Training notebooks run in Google Colab as described in README.md.</w:t>
      </w:r>
    </w:p>
    <w:p>
      <w:pPr>
        <w:pStyle w:val="Heading1"/>
      </w:pPr>
      <w:r>
        <w:t>Appendix A Project Structure</w:t>
      </w:r>
    </w:p>
    <w:tbl>
      <w:tblPr>
        <w:tblStyle w:val="LightShading-Accent1"/>
        <w:tblW w:type="auto" w:w="0"/>
        <w:jc w:val="center"/>
        <w:tblLook w:firstColumn="1" w:firstRow="1" w:lastColumn="0" w:lastRow="0" w:noHBand="0" w:noVBand="1" w:val="04A0"/>
      </w:tblPr>
      <w:tblGrid>
        <w:gridCol w:w="4968"/>
        <w:gridCol w:w="4968"/>
      </w:tblGrid>
      <w:tr>
        <w:trPr>
          <w:cantSplit/>
        </w:trPr>
        <w:tc>
          <w:tcPr>
            <w:tcW w:type="dxa" w:w="2448"/>
            <w:vAlign w:val="center"/>
            <w:shd w:fill="24577A"/>
          </w:tcPr>
          <w:p>
            <w:pPr>
              <w:spacing w:after="20" w:before="20"/>
            </w:pPr>
            <w:r/>
            <w:r>
              <w:rPr>
                <w:rFonts w:ascii="Aptos" w:hAnsi="Aptos"/>
                <w:b/>
                <w:color w:val="FFFFFF"/>
                <w:sz w:val="17"/>
              </w:rPr>
              <w:t>Folder or file</w:t>
            </w:r>
          </w:p>
        </w:tc>
        <w:tc>
          <w:tcPr>
            <w:tcW w:type="dxa" w:w="7056"/>
            <w:vAlign w:val="center"/>
            <w:shd w:fill="24577A"/>
          </w:tcPr>
          <w:p>
            <w:pPr>
              <w:spacing w:after="20" w:before="20"/>
            </w:pPr>
            <w:r/>
            <w:r>
              <w:rPr>
                <w:rFonts w:ascii="Aptos" w:hAnsi="Aptos"/>
                <w:b/>
                <w:color w:val="FFFFFF"/>
                <w:sz w:val="17"/>
              </w:rPr>
              <w:t>Contents</w:t>
            </w:r>
          </w:p>
        </w:tc>
      </w:tr>
      <w:tr>
        <w:trPr>
          <w:cantSplit/>
        </w:trPr>
        <w:tc>
          <w:tcPr>
            <w:tcW w:type="dxa" w:w="2448"/>
            <w:vAlign w:val="center"/>
          </w:tcPr>
          <w:p>
            <w:pPr>
              <w:spacing w:after="20" w:before="20"/>
            </w:pPr>
            <w:r/>
            <w:r>
              <w:rPr>
                <w:rFonts w:ascii="Aptos" w:hAnsi="Aptos"/>
                <w:b w:val="0"/>
                <w:sz w:val="17"/>
              </w:rPr>
              <w:t>app.py</w:t>
            </w:r>
          </w:p>
        </w:tc>
        <w:tc>
          <w:tcPr>
            <w:tcW w:type="dxa" w:w="7056"/>
            <w:vAlign w:val="center"/>
          </w:tcPr>
          <w:p>
            <w:pPr>
              <w:spacing w:after="20" w:before="20"/>
            </w:pPr>
            <w:r/>
            <w:r>
              <w:rPr>
                <w:rFonts w:ascii="Aptos" w:hAnsi="Aptos"/>
                <w:b w:val="0"/>
                <w:sz w:val="17"/>
              </w:rPr>
              <w:t>Flask web application and routes.</w:t>
            </w:r>
          </w:p>
        </w:tc>
      </w:tr>
      <w:tr>
        <w:trPr>
          <w:cantSplit/>
        </w:trPr>
        <w:tc>
          <w:tcPr>
            <w:tcW w:type="dxa" w:w="2448"/>
            <w:vAlign w:val="center"/>
          </w:tcPr>
          <w:p>
            <w:pPr>
              <w:spacing w:after="20" w:before="20"/>
            </w:pPr>
            <w:r/>
            <w:r>
              <w:rPr>
                <w:rFonts w:ascii="Aptos" w:hAnsi="Aptos"/>
                <w:b w:val="0"/>
                <w:sz w:val="17"/>
              </w:rPr>
              <w:t>config</w:t>
            </w:r>
          </w:p>
        </w:tc>
        <w:tc>
          <w:tcPr>
            <w:tcW w:type="dxa" w:w="7056"/>
            <w:vAlign w:val="center"/>
          </w:tcPr>
          <w:p>
            <w:pPr>
              <w:spacing w:after="20" w:before="20"/>
            </w:pPr>
            <w:r/>
            <w:r>
              <w:rPr>
                <w:rFonts w:ascii="Aptos" w:hAnsi="Aptos"/>
                <w:b w:val="0"/>
                <w:sz w:val="17"/>
              </w:rPr>
              <w:t>Model, class, path, and setting defaults.</w:t>
            </w:r>
          </w:p>
        </w:tc>
      </w:tr>
      <w:tr>
        <w:trPr>
          <w:cantSplit/>
        </w:trPr>
        <w:tc>
          <w:tcPr>
            <w:tcW w:type="dxa" w:w="2448"/>
            <w:vAlign w:val="center"/>
          </w:tcPr>
          <w:p>
            <w:pPr>
              <w:spacing w:after="20" w:before="20"/>
            </w:pPr>
            <w:r/>
            <w:r>
              <w:rPr>
                <w:rFonts w:ascii="Aptos" w:hAnsi="Aptos"/>
                <w:b w:val="0"/>
                <w:sz w:val="17"/>
              </w:rPr>
              <w:t>audio_dataset</w:t>
            </w:r>
          </w:p>
        </w:tc>
        <w:tc>
          <w:tcPr>
            <w:tcW w:type="dxa" w:w="7056"/>
            <w:vAlign w:val="center"/>
          </w:tcPr>
          <w:p>
            <w:pPr>
              <w:spacing w:after="20" w:before="20"/>
            </w:pPr>
            <w:r/>
            <w:r>
              <w:rPr>
                <w:rFonts w:ascii="Aptos" w:hAnsi="Aptos"/>
                <w:b w:val="0"/>
                <w:sz w:val="17"/>
              </w:rPr>
              <w:t>Raw audio and training, validation, testing, and augmented splits.</w:t>
            </w:r>
          </w:p>
        </w:tc>
      </w:tr>
      <w:tr>
        <w:trPr>
          <w:cantSplit/>
        </w:trPr>
        <w:tc>
          <w:tcPr>
            <w:tcW w:type="dxa" w:w="2448"/>
            <w:vAlign w:val="center"/>
          </w:tcPr>
          <w:p>
            <w:pPr>
              <w:spacing w:after="20" w:before="20"/>
            </w:pPr>
            <w:r/>
            <w:r>
              <w:rPr>
                <w:rFonts w:ascii="Aptos" w:hAnsi="Aptos"/>
                <w:b w:val="0"/>
                <w:sz w:val="17"/>
              </w:rPr>
              <w:t>audio_preprocessing</w:t>
            </w:r>
          </w:p>
        </w:tc>
        <w:tc>
          <w:tcPr>
            <w:tcW w:type="dxa" w:w="7056"/>
            <w:vAlign w:val="center"/>
          </w:tcPr>
          <w:p>
            <w:pPr>
              <w:spacing w:after="20" w:before="20"/>
            </w:pPr>
            <w:r/>
            <w:r>
              <w:rPr>
                <w:rFonts w:ascii="Aptos" w:hAnsi="Aptos"/>
                <w:b w:val="0"/>
                <w:sz w:val="17"/>
              </w:rPr>
              <w:t>Audio validation and preparation.</w:t>
            </w:r>
          </w:p>
        </w:tc>
      </w:tr>
      <w:tr>
        <w:trPr>
          <w:cantSplit/>
        </w:trPr>
        <w:tc>
          <w:tcPr>
            <w:tcW w:type="dxa" w:w="2448"/>
            <w:vAlign w:val="center"/>
          </w:tcPr>
          <w:p>
            <w:pPr>
              <w:spacing w:after="20" w:before="20"/>
            </w:pPr>
            <w:r/>
            <w:r>
              <w:rPr>
                <w:rFonts w:ascii="Aptos" w:hAnsi="Aptos"/>
                <w:b w:val="0"/>
                <w:sz w:val="17"/>
              </w:rPr>
              <w:t>feature_extraction</w:t>
            </w:r>
          </w:p>
        </w:tc>
        <w:tc>
          <w:tcPr>
            <w:tcW w:type="dxa" w:w="7056"/>
            <w:vAlign w:val="center"/>
          </w:tcPr>
          <w:p>
            <w:pPr>
              <w:spacing w:after="20" w:before="20"/>
            </w:pPr>
            <w:r/>
            <w:r>
              <w:rPr>
                <w:rFonts w:ascii="Aptos" w:hAnsi="Aptos"/>
                <w:b w:val="0"/>
                <w:sz w:val="17"/>
              </w:rPr>
              <w:t>Model input feature code.</w:t>
            </w:r>
          </w:p>
        </w:tc>
      </w:tr>
      <w:tr>
        <w:trPr>
          <w:cantSplit/>
        </w:trPr>
        <w:tc>
          <w:tcPr>
            <w:tcW w:type="dxa" w:w="2448"/>
            <w:vAlign w:val="center"/>
          </w:tcPr>
          <w:p>
            <w:pPr>
              <w:spacing w:after="20" w:before="20"/>
            </w:pPr>
            <w:r/>
            <w:r>
              <w:rPr>
                <w:rFonts w:ascii="Aptos" w:hAnsi="Aptos"/>
                <w:b w:val="0"/>
                <w:sz w:val="17"/>
              </w:rPr>
              <w:t>src</w:t>
            </w:r>
          </w:p>
        </w:tc>
        <w:tc>
          <w:tcPr>
            <w:tcW w:type="dxa" w:w="7056"/>
            <w:vAlign w:val="center"/>
          </w:tcPr>
          <w:p>
            <w:pPr>
              <w:spacing w:after="20" w:before="20"/>
            </w:pPr>
            <w:r/>
            <w:r>
              <w:rPr>
                <w:rFonts w:ascii="Aptos" w:hAnsi="Aptos"/>
                <w:b w:val="0"/>
                <w:sz w:val="17"/>
              </w:rPr>
              <w:t>Prediction, model, decision, quality, metrics, and reporting modules.</w:t>
            </w:r>
          </w:p>
        </w:tc>
      </w:tr>
      <w:tr>
        <w:trPr>
          <w:cantSplit/>
        </w:trPr>
        <w:tc>
          <w:tcPr>
            <w:tcW w:type="dxa" w:w="2448"/>
            <w:vAlign w:val="center"/>
          </w:tcPr>
          <w:p>
            <w:pPr>
              <w:spacing w:after="20" w:before="20"/>
            </w:pPr>
            <w:r/>
            <w:r>
              <w:rPr>
                <w:rFonts w:ascii="Aptos" w:hAnsi="Aptos"/>
                <w:b w:val="0"/>
                <w:sz w:val="17"/>
              </w:rPr>
              <w:t>python_models</w:t>
            </w:r>
          </w:p>
        </w:tc>
        <w:tc>
          <w:tcPr>
            <w:tcW w:type="dxa" w:w="7056"/>
            <w:vAlign w:val="center"/>
          </w:tcPr>
          <w:p>
            <w:pPr>
              <w:spacing w:after="20" w:before="20"/>
            </w:pPr>
            <w:r/>
            <w:r>
              <w:rPr>
                <w:rFonts w:ascii="Aptos" w:hAnsi="Aptos"/>
                <w:b w:val="0"/>
                <w:sz w:val="17"/>
              </w:rPr>
              <w:t>Trained Python models and related metadata.</w:t>
            </w:r>
          </w:p>
        </w:tc>
      </w:tr>
      <w:tr>
        <w:trPr>
          <w:cantSplit/>
        </w:trPr>
        <w:tc>
          <w:tcPr>
            <w:tcW w:type="dxa" w:w="2448"/>
            <w:vAlign w:val="center"/>
          </w:tcPr>
          <w:p>
            <w:pPr>
              <w:spacing w:after="20" w:before="20"/>
            </w:pPr>
            <w:r/>
            <w:r>
              <w:rPr>
                <w:rFonts w:ascii="Aptos" w:hAnsi="Aptos"/>
                <w:b w:val="0"/>
                <w:sz w:val="17"/>
              </w:rPr>
              <w:t>gtm_model</w:t>
            </w:r>
          </w:p>
        </w:tc>
        <w:tc>
          <w:tcPr>
            <w:tcW w:type="dxa" w:w="7056"/>
            <w:vAlign w:val="center"/>
          </w:tcPr>
          <w:p>
            <w:pPr>
              <w:spacing w:after="20" w:before="20"/>
            </w:pPr>
            <w:r/>
            <w:r>
              <w:rPr>
                <w:rFonts w:ascii="Aptos" w:hAnsi="Aptos"/>
                <w:b w:val="0"/>
                <w:sz w:val="17"/>
              </w:rPr>
              <w:t>Browser model export and metadata.</w:t>
            </w:r>
          </w:p>
        </w:tc>
      </w:tr>
      <w:tr>
        <w:trPr>
          <w:cantSplit/>
        </w:trPr>
        <w:tc>
          <w:tcPr>
            <w:tcW w:type="dxa" w:w="2448"/>
            <w:vAlign w:val="center"/>
          </w:tcPr>
          <w:p>
            <w:pPr>
              <w:spacing w:after="20" w:before="20"/>
            </w:pPr>
            <w:r/>
            <w:r>
              <w:rPr>
                <w:rFonts w:ascii="Aptos" w:hAnsi="Aptos"/>
                <w:b w:val="0"/>
                <w:sz w:val="17"/>
              </w:rPr>
              <w:t>alert_rules</w:t>
            </w:r>
          </w:p>
        </w:tc>
        <w:tc>
          <w:tcPr>
            <w:tcW w:type="dxa" w:w="7056"/>
            <w:vAlign w:val="center"/>
          </w:tcPr>
          <w:p>
            <w:pPr>
              <w:spacing w:after="20" w:before="20"/>
            </w:pPr>
            <w:r/>
            <w:r>
              <w:rPr>
                <w:rFonts w:ascii="Aptos" w:hAnsi="Aptos"/>
                <w:b w:val="0"/>
                <w:sz w:val="17"/>
              </w:rPr>
              <w:t>Editable category rules.</w:t>
            </w:r>
          </w:p>
        </w:tc>
      </w:tr>
      <w:tr>
        <w:trPr>
          <w:cantSplit/>
        </w:trPr>
        <w:tc>
          <w:tcPr>
            <w:tcW w:type="dxa" w:w="2448"/>
            <w:vAlign w:val="center"/>
          </w:tcPr>
          <w:p>
            <w:pPr>
              <w:spacing w:after="20" w:before="20"/>
            </w:pPr>
            <w:r/>
            <w:r>
              <w:rPr>
                <w:rFonts w:ascii="Aptos" w:hAnsi="Aptos"/>
                <w:b w:val="0"/>
                <w:sz w:val="17"/>
              </w:rPr>
              <w:t>database</w:t>
            </w:r>
          </w:p>
        </w:tc>
        <w:tc>
          <w:tcPr>
            <w:tcW w:type="dxa" w:w="7056"/>
            <w:vAlign w:val="center"/>
          </w:tcPr>
          <w:p>
            <w:pPr>
              <w:spacing w:after="20" w:before="20"/>
            </w:pPr>
            <w:r/>
            <w:r>
              <w:rPr>
                <w:rFonts w:ascii="Aptos" w:hAnsi="Aptos"/>
                <w:b w:val="0"/>
                <w:sz w:val="17"/>
              </w:rPr>
              <w:t>SQLite schema and database functions.</w:t>
            </w:r>
          </w:p>
        </w:tc>
      </w:tr>
      <w:tr>
        <w:trPr>
          <w:cantSplit/>
        </w:trPr>
        <w:tc>
          <w:tcPr>
            <w:tcW w:type="dxa" w:w="2448"/>
            <w:vAlign w:val="center"/>
          </w:tcPr>
          <w:p>
            <w:pPr>
              <w:spacing w:after="20" w:before="20"/>
            </w:pPr>
            <w:r/>
            <w:r>
              <w:rPr>
                <w:rFonts w:ascii="Aptos" w:hAnsi="Aptos"/>
                <w:b w:val="0"/>
                <w:sz w:val="17"/>
              </w:rPr>
              <w:t>templates and static</w:t>
            </w:r>
          </w:p>
        </w:tc>
        <w:tc>
          <w:tcPr>
            <w:tcW w:type="dxa" w:w="7056"/>
            <w:vAlign w:val="center"/>
          </w:tcPr>
          <w:p>
            <w:pPr>
              <w:spacing w:after="20" w:before="20"/>
            </w:pPr>
            <w:r/>
            <w:r>
              <w:rPr>
                <w:rFonts w:ascii="Aptos" w:hAnsi="Aptos"/>
                <w:b w:val="0"/>
                <w:sz w:val="17"/>
              </w:rPr>
              <w:t>Web pages, CSS, and JavaScript.</w:t>
            </w:r>
          </w:p>
        </w:tc>
      </w:tr>
      <w:tr>
        <w:trPr>
          <w:cantSplit/>
        </w:trPr>
        <w:tc>
          <w:tcPr>
            <w:tcW w:type="dxa" w:w="2448"/>
            <w:vAlign w:val="center"/>
          </w:tcPr>
          <w:p>
            <w:pPr>
              <w:spacing w:after="20" w:before="20"/>
            </w:pPr>
            <w:r/>
            <w:r>
              <w:rPr>
                <w:rFonts w:ascii="Aptos" w:hAnsi="Aptos"/>
                <w:b w:val="0"/>
                <w:sz w:val="17"/>
              </w:rPr>
              <w:t>notebooks</w:t>
            </w:r>
          </w:p>
        </w:tc>
        <w:tc>
          <w:tcPr>
            <w:tcW w:type="dxa" w:w="7056"/>
            <w:vAlign w:val="center"/>
          </w:tcPr>
          <w:p>
            <w:pPr>
              <w:spacing w:after="20" w:before="20"/>
            </w:pPr>
            <w:r/>
            <w:r>
              <w:rPr>
                <w:rFonts w:ascii="Aptos" w:hAnsi="Aptos"/>
                <w:b w:val="0"/>
                <w:sz w:val="17"/>
              </w:rPr>
              <w:t>Exploration and model training notebooks.</w:t>
            </w:r>
          </w:p>
        </w:tc>
      </w:tr>
      <w:tr>
        <w:trPr>
          <w:cantSplit/>
        </w:trPr>
        <w:tc>
          <w:tcPr>
            <w:tcW w:type="dxa" w:w="2448"/>
            <w:vAlign w:val="center"/>
          </w:tcPr>
          <w:p>
            <w:pPr>
              <w:spacing w:after="20" w:before="20"/>
            </w:pPr>
            <w:r/>
            <w:r>
              <w:rPr>
                <w:rFonts w:ascii="Aptos" w:hAnsi="Aptos"/>
                <w:b w:val="0"/>
                <w:sz w:val="17"/>
              </w:rPr>
              <w:t>reports</w:t>
            </w:r>
          </w:p>
        </w:tc>
        <w:tc>
          <w:tcPr>
            <w:tcW w:type="dxa" w:w="7056"/>
            <w:vAlign w:val="center"/>
          </w:tcPr>
          <w:p>
            <w:pPr>
              <w:spacing w:after="20" w:before="20"/>
            </w:pPr>
            <w:r/>
            <w:r>
              <w:rPr>
                <w:rFonts w:ascii="Aptos" w:hAnsi="Aptos"/>
                <w:b w:val="0"/>
                <w:sz w:val="17"/>
              </w:rPr>
              <w:t>Saved model metrics, predictions, and figures.</w:t>
            </w:r>
          </w:p>
        </w:tc>
      </w:tr>
      <w:tr>
        <w:trPr>
          <w:cantSplit/>
        </w:trPr>
        <w:tc>
          <w:tcPr>
            <w:tcW w:type="dxa" w:w="2448"/>
            <w:vAlign w:val="center"/>
          </w:tcPr>
          <w:p>
            <w:pPr>
              <w:spacing w:after="20" w:before="20"/>
            </w:pPr>
            <w:r/>
            <w:r>
              <w:rPr>
                <w:rFonts w:ascii="Aptos" w:hAnsi="Aptos"/>
                <w:b w:val="0"/>
                <w:sz w:val="17"/>
              </w:rPr>
              <w:t>tests</w:t>
            </w:r>
          </w:p>
        </w:tc>
        <w:tc>
          <w:tcPr>
            <w:tcW w:type="dxa" w:w="7056"/>
            <w:vAlign w:val="center"/>
          </w:tcPr>
          <w:p>
            <w:pPr>
              <w:spacing w:after="20" w:before="20"/>
            </w:pPr>
            <w:r/>
            <w:r>
              <w:rPr>
                <w:rFonts w:ascii="Aptos" w:hAnsi="Aptos"/>
                <w:b w:val="0"/>
                <w:sz w:val="17"/>
              </w:rPr>
              <w:t>Automated test suite.</w:t>
            </w:r>
          </w:p>
        </w:tc>
      </w:tr>
    </w:tbl>
    <w:p>
      <w:pPr>
        <w:spacing w:after="0"/>
      </w:pPr>
    </w:p>
    <w:p>
      <w:pPr>
        <w:pStyle w:val="Heading1"/>
      </w:pPr>
      <w:r>
        <w:t>Appendix B Requirements Status</w:t>
      </w:r>
    </w:p>
    <w:p>
      <w:r>
        <w:t>This summary records what is visible in the source and saved project evidence. It is not a substitute for a full requirement-by-requirement acceptance test.</w:t>
      </w:r>
    </w:p>
    <w:tbl>
      <w:tblPr>
        <w:tblStyle w:val="LightShading-Accent1"/>
        <w:tblW w:type="auto" w:w="0"/>
        <w:jc w:val="center"/>
        <w:tblLook w:firstColumn="1" w:firstRow="1" w:lastColumn="0" w:lastRow="0" w:noHBand="0" w:noVBand="1" w:val="04A0"/>
      </w:tblPr>
      <w:tblGrid>
        <w:gridCol w:w="3312"/>
        <w:gridCol w:w="3312"/>
        <w:gridCol w:w="3312"/>
      </w:tblGrid>
      <w:tr>
        <w:trPr>
          <w:cantSplit/>
        </w:trPr>
        <w:tc>
          <w:tcPr>
            <w:tcW w:type="dxa" w:w="2448"/>
            <w:vAlign w:val="center"/>
            <w:shd w:fill="24577A"/>
          </w:tcPr>
          <w:p>
            <w:pPr>
              <w:spacing w:after="20" w:before="20"/>
            </w:pPr>
            <w:r/>
            <w:r>
              <w:rPr>
                <w:rFonts w:ascii="Aptos" w:hAnsi="Aptos"/>
                <w:b/>
                <w:color w:val="FFFFFF"/>
                <w:sz w:val="17"/>
              </w:rPr>
              <w:t>SRS area</w:t>
            </w:r>
          </w:p>
        </w:tc>
        <w:tc>
          <w:tcPr>
            <w:tcW w:type="dxa" w:w="4464"/>
            <w:vAlign w:val="center"/>
            <w:shd w:fill="24577A"/>
          </w:tcPr>
          <w:p>
            <w:pPr>
              <w:spacing w:after="20" w:before="20"/>
            </w:pPr>
            <w:r/>
            <w:r>
              <w:rPr>
                <w:rFonts w:ascii="Aptos" w:hAnsi="Aptos"/>
                <w:b/>
                <w:color w:val="FFFFFF"/>
                <w:sz w:val="17"/>
              </w:rPr>
              <w:t>Observed evidence</w:t>
            </w:r>
          </w:p>
        </w:tc>
        <w:tc>
          <w:tcPr>
            <w:tcW w:type="dxa" w:w="2592"/>
            <w:vAlign w:val="center"/>
            <w:shd w:fill="24577A"/>
          </w:tcPr>
          <w:p>
            <w:pPr>
              <w:spacing w:after="20" w:before="20"/>
            </w:pPr>
            <w:r/>
            <w:r>
              <w:rPr>
                <w:rFonts w:ascii="Aptos" w:hAnsi="Aptos"/>
                <w:b/>
                <w:color w:val="FFFFFF"/>
                <w:sz w:val="17"/>
              </w:rPr>
              <w:t>Documentation status</w:t>
            </w:r>
          </w:p>
        </w:tc>
      </w:tr>
      <w:tr>
        <w:trPr>
          <w:cantSplit/>
        </w:trPr>
        <w:tc>
          <w:tcPr>
            <w:tcW w:type="dxa" w:w="2448"/>
            <w:vAlign w:val="center"/>
          </w:tcPr>
          <w:p>
            <w:pPr>
              <w:spacing w:after="20" w:before="20"/>
            </w:pPr>
            <w:r/>
            <w:r>
              <w:rPr>
                <w:rFonts w:ascii="Aptos" w:hAnsi="Aptos"/>
                <w:b w:val="0"/>
                <w:sz w:val="17"/>
              </w:rPr>
              <w:t>Audio upload and validation</w:t>
            </w:r>
          </w:p>
        </w:tc>
        <w:tc>
          <w:tcPr>
            <w:tcW w:type="dxa" w:w="4464"/>
            <w:vAlign w:val="center"/>
          </w:tcPr>
          <w:p>
            <w:pPr>
              <w:spacing w:after="20" w:before="20"/>
            </w:pPr>
            <w:r/>
            <w:r>
              <w:rPr>
                <w:rFonts w:ascii="Aptos" w:hAnsi="Aptos"/>
                <w:b w:val="0"/>
                <w:sz w:val="17"/>
              </w:rPr>
              <w:t>Upload routes and audio validation/preprocessing modules are present.</w:t>
            </w:r>
          </w:p>
        </w:tc>
        <w:tc>
          <w:tcPr>
            <w:tcW w:type="dxa" w:w="2592"/>
            <w:vAlign w:val="center"/>
          </w:tcPr>
          <w:p>
            <w:pPr>
              <w:spacing w:after="20" w:before="20"/>
            </w:pPr>
            <w:r/>
            <w:r>
              <w:rPr>
                <w:rFonts w:ascii="Aptos" w:hAnsi="Aptos"/>
                <w:b w:val="0"/>
                <w:sz w:val="17"/>
              </w:rPr>
              <w:t>Implemented in source.</w:t>
            </w:r>
          </w:p>
        </w:tc>
      </w:tr>
      <w:tr>
        <w:trPr>
          <w:cantSplit/>
        </w:trPr>
        <w:tc>
          <w:tcPr>
            <w:tcW w:type="dxa" w:w="2448"/>
            <w:vAlign w:val="center"/>
          </w:tcPr>
          <w:p>
            <w:pPr>
              <w:spacing w:after="20" w:before="20"/>
            </w:pPr>
            <w:r/>
            <w:r>
              <w:rPr>
                <w:rFonts w:ascii="Aptos" w:hAnsi="Aptos"/>
                <w:b w:val="0"/>
                <w:sz w:val="17"/>
              </w:rPr>
              <w:t>Live microphone</w:t>
            </w:r>
          </w:p>
        </w:tc>
        <w:tc>
          <w:tcPr>
            <w:tcW w:type="dxa" w:w="4464"/>
            <w:vAlign w:val="center"/>
          </w:tcPr>
          <w:p>
            <w:pPr>
              <w:spacing w:after="20" w:before="20"/>
            </w:pPr>
            <w:r/>
            <w:r>
              <w:rPr>
                <w:rFonts w:ascii="Aptos" w:hAnsi="Aptos"/>
                <w:b w:val="0"/>
                <w:sz w:val="17"/>
              </w:rPr>
              <w:t>Browser microphone scripts and live page are present.</w:t>
            </w:r>
          </w:p>
        </w:tc>
        <w:tc>
          <w:tcPr>
            <w:tcW w:type="dxa" w:w="2592"/>
            <w:vAlign w:val="center"/>
          </w:tcPr>
          <w:p>
            <w:pPr>
              <w:spacing w:after="20" w:before="20"/>
            </w:pPr>
            <w:r/>
            <w:r>
              <w:rPr>
                <w:rFonts w:ascii="Aptos" w:hAnsi="Aptos"/>
                <w:b w:val="0"/>
                <w:sz w:val="17"/>
              </w:rPr>
              <w:t>Implemented in source; latency not measured.</w:t>
            </w:r>
          </w:p>
        </w:tc>
      </w:tr>
      <w:tr>
        <w:trPr>
          <w:cantSplit/>
        </w:trPr>
        <w:tc>
          <w:tcPr>
            <w:tcW w:type="dxa" w:w="2448"/>
            <w:vAlign w:val="center"/>
          </w:tcPr>
          <w:p>
            <w:pPr>
              <w:spacing w:after="20" w:before="20"/>
            </w:pPr>
            <w:r/>
            <w:r>
              <w:rPr>
                <w:rFonts w:ascii="Aptos" w:hAnsi="Aptos"/>
                <w:b w:val="0"/>
                <w:sz w:val="17"/>
              </w:rPr>
              <w:t>Ten mandatory classes</w:t>
            </w:r>
          </w:p>
        </w:tc>
        <w:tc>
          <w:tcPr>
            <w:tcW w:type="dxa" w:w="4464"/>
            <w:vAlign w:val="center"/>
          </w:tcPr>
          <w:p>
            <w:pPr>
              <w:spacing w:after="20" w:before="20"/>
            </w:pPr>
            <w:r/>
            <w:r>
              <w:rPr>
                <w:rFonts w:ascii="Aptos" w:hAnsi="Aptos"/>
                <w:b w:val="0"/>
                <w:sz w:val="17"/>
              </w:rPr>
              <w:t>Canonical class list contains all ten.</w:t>
            </w:r>
          </w:p>
        </w:tc>
        <w:tc>
          <w:tcPr>
            <w:tcW w:type="dxa" w:w="2592"/>
            <w:vAlign w:val="center"/>
          </w:tcPr>
          <w:p>
            <w:pPr>
              <w:spacing w:after="20" w:before="20"/>
            </w:pPr>
            <w:r/>
            <w:r>
              <w:rPr>
                <w:rFonts w:ascii="Aptos" w:hAnsi="Aptos"/>
                <w:b w:val="0"/>
                <w:sz w:val="17"/>
              </w:rPr>
              <w:t>Implemented.</w:t>
            </w:r>
          </w:p>
        </w:tc>
      </w:tr>
      <w:tr>
        <w:trPr>
          <w:cantSplit/>
        </w:trPr>
        <w:tc>
          <w:tcPr>
            <w:tcW w:type="dxa" w:w="2448"/>
            <w:vAlign w:val="center"/>
          </w:tcPr>
          <w:p>
            <w:pPr>
              <w:spacing w:after="20" w:before="20"/>
            </w:pPr>
            <w:r/>
            <w:r>
              <w:rPr>
                <w:rFonts w:ascii="Aptos" w:hAnsi="Aptos"/>
                <w:b w:val="0"/>
                <w:sz w:val="17"/>
              </w:rPr>
              <w:t>Three or more Python models</w:t>
            </w:r>
          </w:p>
        </w:tc>
        <w:tc>
          <w:tcPr>
            <w:tcW w:type="dxa" w:w="4464"/>
            <w:vAlign w:val="center"/>
          </w:tcPr>
          <w:p>
            <w:pPr>
              <w:spacing w:after="20" w:before="20"/>
            </w:pPr>
            <w:r/>
            <w:r>
              <w:rPr>
                <w:rFonts w:ascii="Aptos" w:hAnsi="Aptos"/>
                <w:b w:val="0"/>
                <w:sz w:val="17"/>
              </w:rPr>
              <w:t>Five saved model metric files.</w:t>
            </w:r>
          </w:p>
        </w:tc>
        <w:tc>
          <w:tcPr>
            <w:tcW w:type="dxa" w:w="2592"/>
            <w:vAlign w:val="center"/>
          </w:tcPr>
          <w:p>
            <w:pPr>
              <w:spacing w:after="20" w:before="20"/>
            </w:pPr>
            <w:r/>
            <w:r>
              <w:rPr>
                <w:rFonts w:ascii="Aptos" w:hAnsi="Aptos"/>
                <w:b w:val="0"/>
                <w:sz w:val="17"/>
              </w:rPr>
              <w:t>Evidence available.</w:t>
            </w:r>
          </w:p>
        </w:tc>
      </w:tr>
      <w:tr>
        <w:trPr>
          <w:cantSplit/>
        </w:trPr>
        <w:tc>
          <w:tcPr>
            <w:tcW w:type="dxa" w:w="2448"/>
            <w:vAlign w:val="center"/>
          </w:tcPr>
          <w:p>
            <w:pPr>
              <w:spacing w:after="20" w:before="20"/>
            </w:pPr>
            <w:r/>
            <w:r>
              <w:rPr>
                <w:rFonts w:ascii="Aptos" w:hAnsi="Aptos"/>
                <w:b w:val="0"/>
                <w:sz w:val="17"/>
              </w:rPr>
              <w:t>Independent GTM model</w:t>
            </w:r>
          </w:p>
        </w:tc>
        <w:tc>
          <w:tcPr>
            <w:tcW w:type="dxa" w:w="4464"/>
            <w:vAlign w:val="center"/>
          </w:tcPr>
          <w:p>
            <w:pPr>
              <w:spacing w:after="20" w:before="20"/>
            </w:pPr>
            <w:r/>
            <w:r>
              <w:rPr>
                <w:rFonts w:ascii="Aptos" w:hAnsi="Aptos"/>
                <w:b w:val="0"/>
                <w:sz w:val="17"/>
              </w:rPr>
              <w:t>GTM model directory and browser submission endpoint exist.</w:t>
            </w:r>
          </w:p>
        </w:tc>
        <w:tc>
          <w:tcPr>
            <w:tcW w:type="dxa" w:w="2592"/>
            <w:vAlign w:val="center"/>
          </w:tcPr>
          <w:p>
            <w:pPr>
              <w:spacing w:after="20" w:before="20"/>
            </w:pPr>
            <w:r/>
            <w:r>
              <w:rPr>
                <w:rFonts w:ascii="Aptos" w:hAnsi="Aptos"/>
                <w:b w:val="0"/>
                <w:sz w:val="17"/>
              </w:rPr>
              <w:t>Integration present; model thresholds not met.</w:t>
            </w:r>
          </w:p>
        </w:tc>
      </w:tr>
      <w:tr>
        <w:trPr>
          <w:cantSplit/>
        </w:trPr>
        <w:tc>
          <w:tcPr>
            <w:tcW w:type="dxa" w:w="2448"/>
            <w:vAlign w:val="center"/>
          </w:tcPr>
          <w:p>
            <w:pPr>
              <w:spacing w:after="20" w:before="20"/>
            </w:pPr>
            <w:r/>
            <w:r>
              <w:rPr>
                <w:rFonts w:ascii="Aptos" w:hAnsi="Aptos"/>
                <w:b w:val="0"/>
                <w:sz w:val="17"/>
              </w:rPr>
              <w:t>Audio quality and visuals</w:t>
            </w:r>
          </w:p>
        </w:tc>
        <w:tc>
          <w:tcPr>
            <w:tcW w:type="dxa" w:w="4464"/>
            <w:vAlign w:val="center"/>
          </w:tcPr>
          <w:p>
            <w:pPr>
              <w:spacing w:after="20" w:before="20"/>
            </w:pPr>
            <w:r/>
            <w:r>
              <w:rPr>
                <w:rFonts w:ascii="Aptos" w:hAnsi="Aptos"/>
                <w:b w:val="0"/>
                <w:sz w:val="17"/>
              </w:rPr>
              <w:t>Quality analysis, waveform, and spectrogram modules are present.</w:t>
            </w:r>
          </w:p>
        </w:tc>
        <w:tc>
          <w:tcPr>
            <w:tcW w:type="dxa" w:w="2592"/>
            <w:vAlign w:val="center"/>
          </w:tcPr>
          <w:p>
            <w:pPr>
              <w:spacing w:after="20" w:before="20"/>
            </w:pPr>
            <w:r/>
            <w:r>
              <w:rPr>
                <w:rFonts w:ascii="Aptos" w:hAnsi="Aptos"/>
                <w:b w:val="0"/>
                <w:sz w:val="17"/>
              </w:rPr>
              <w:t>Implemented in source.</w:t>
            </w:r>
          </w:p>
        </w:tc>
      </w:tr>
      <w:tr>
        <w:trPr>
          <w:cantSplit/>
        </w:trPr>
        <w:tc>
          <w:tcPr>
            <w:tcW w:type="dxa" w:w="2448"/>
            <w:vAlign w:val="center"/>
          </w:tcPr>
          <w:p>
            <w:pPr>
              <w:spacing w:after="20" w:before="20"/>
            </w:pPr>
            <w:r/>
            <w:r>
              <w:rPr>
                <w:rFonts w:ascii="Aptos" w:hAnsi="Aptos"/>
                <w:b w:val="0"/>
                <w:sz w:val="17"/>
              </w:rPr>
              <w:t>Alerts and manual review</w:t>
            </w:r>
          </w:p>
        </w:tc>
        <w:tc>
          <w:tcPr>
            <w:tcW w:type="dxa" w:w="4464"/>
            <w:vAlign w:val="center"/>
          </w:tcPr>
          <w:p>
            <w:pPr>
              <w:spacing w:after="20" w:before="20"/>
            </w:pPr>
            <w:r/>
            <w:r>
              <w:rPr>
                <w:rFonts w:ascii="Aptos" w:hAnsi="Aptos"/>
                <w:b w:val="0"/>
                <w:sz w:val="17"/>
              </w:rPr>
              <w:t>Rules, alert, and reviewer workflows are present.</w:t>
            </w:r>
          </w:p>
        </w:tc>
        <w:tc>
          <w:tcPr>
            <w:tcW w:type="dxa" w:w="2592"/>
            <w:vAlign w:val="center"/>
          </w:tcPr>
          <w:p>
            <w:pPr>
              <w:spacing w:after="20" w:before="20"/>
            </w:pPr>
            <w:r/>
            <w:r>
              <w:rPr>
                <w:rFonts w:ascii="Aptos" w:hAnsi="Aptos"/>
                <w:b w:val="0"/>
                <w:sz w:val="17"/>
              </w:rPr>
              <w:t>Implemented in source.</w:t>
            </w:r>
          </w:p>
        </w:tc>
      </w:tr>
      <w:tr>
        <w:trPr>
          <w:cantSplit/>
        </w:trPr>
        <w:tc>
          <w:tcPr>
            <w:tcW w:type="dxa" w:w="2448"/>
            <w:vAlign w:val="center"/>
          </w:tcPr>
          <w:p>
            <w:pPr>
              <w:spacing w:after="20" w:before="20"/>
            </w:pPr>
            <w:r/>
            <w:r>
              <w:rPr>
                <w:rFonts w:ascii="Aptos" w:hAnsi="Aptos"/>
                <w:b w:val="0"/>
                <w:sz w:val="17"/>
              </w:rPr>
              <w:t>Event storage and roles</w:t>
            </w:r>
          </w:p>
        </w:tc>
        <w:tc>
          <w:tcPr>
            <w:tcW w:type="dxa" w:w="4464"/>
            <w:vAlign w:val="center"/>
          </w:tcPr>
          <w:p>
            <w:pPr>
              <w:spacing w:after="20" w:before="20"/>
            </w:pPr>
            <w:r/>
            <w:r>
              <w:rPr>
                <w:rFonts w:ascii="Aptos" w:hAnsi="Aptos"/>
                <w:b w:val="0"/>
                <w:sz w:val="17"/>
              </w:rPr>
              <w:t>SQLite schema and role checks are present.</w:t>
            </w:r>
          </w:p>
        </w:tc>
        <w:tc>
          <w:tcPr>
            <w:tcW w:type="dxa" w:w="2592"/>
            <w:vAlign w:val="center"/>
          </w:tcPr>
          <w:p>
            <w:pPr>
              <w:spacing w:after="20" w:before="20"/>
            </w:pPr>
            <w:r/>
            <w:r>
              <w:rPr>
                <w:rFonts w:ascii="Aptos" w:hAnsi="Aptos"/>
                <w:b w:val="0"/>
                <w:sz w:val="17"/>
              </w:rPr>
              <w:t>Implemented in source.</w:t>
            </w:r>
          </w:p>
        </w:tc>
      </w:tr>
      <w:tr>
        <w:trPr>
          <w:cantSplit/>
        </w:trPr>
        <w:tc>
          <w:tcPr>
            <w:tcW w:type="dxa" w:w="2448"/>
            <w:vAlign w:val="center"/>
          </w:tcPr>
          <w:p>
            <w:pPr>
              <w:spacing w:after="20" w:before="20"/>
            </w:pPr>
            <w:r/>
            <w:r>
              <w:rPr>
                <w:rFonts w:ascii="Aptos" w:hAnsi="Aptos"/>
                <w:b w:val="0"/>
                <w:sz w:val="17"/>
              </w:rPr>
              <w:t>Accuracy and recall targets</w:t>
            </w:r>
          </w:p>
        </w:tc>
        <w:tc>
          <w:tcPr>
            <w:tcW w:type="dxa" w:w="4464"/>
            <w:vAlign w:val="center"/>
          </w:tcPr>
          <w:p>
            <w:pPr>
              <w:spacing w:after="20" w:before="20"/>
            </w:pPr>
            <w:r/>
            <w:r>
              <w:rPr>
                <w:rFonts w:ascii="Aptos" w:hAnsi="Aptos"/>
                <w:b w:val="0"/>
                <w:sz w:val="17"/>
              </w:rPr>
              <w:t>Saved metrics show mixed outcomes by model and evaluation unit.</w:t>
            </w:r>
          </w:p>
        </w:tc>
        <w:tc>
          <w:tcPr>
            <w:tcW w:type="dxa" w:w="2592"/>
            <w:vAlign w:val="center"/>
          </w:tcPr>
          <w:p>
            <w:pPr>
              <w:spacing w:after="20" w:before="20"/>
            </w:pPr>
            <w:r/>
            <w:r>
              <w:rPr>
                <w:rFonts w:ascii="Aptos" w:hAnsi="Aptos"/>
                <w:b w:val="0"/>
                <w:sz w:val="17"/>
              </w:rPr>
              <w:t>Not met by configured XGBoost and GTM; transfer experiment needs comparable evaluation.</w:t>
            </w:r>
          </w:p>
        </w:tc>
      </w:tr>
      <w:tr>
        <w:trPr>
          <w:cantSplit/>
        </w:trPr>
        <w:tc>
          <w:tcPr>
            <w:tcW w:type="dxa" w:w="2448"/>
            <w:vAlign w:val="center"/>
          </w:tcPr>
          <w:p>
            <w:pPr>
              <w:spacing w:after="20" w:before="20"/>
            </w:pPr>
            <w:r/>
            <w:r>
              <w:rPr>
                <w:rFonts w:ascii="Aptos" w:hAnsi="Aptos"/>
                <w:b w:val="0"/>
                <w:sz w:val="17"/>
              </w:rPr>
              <w:t>Performance, scale, availability</w:t>
            </w:r>
          </w:p>
        </w:tc>
        <w:tc>
          <w:tcPr>
            <w:tcW w:type="dxa" w:w="4464"/>
            <w:vAlign w:val="center"/>
          </w:tcPr>
          <w:p>
            <w:pPr>
              <w:spacing w:after="20" w:before="20"/>
            </w:pPr>
            <w:r/>
            <w:r>
              <w:rPr>
                <w:rFonts w:ascii="Aptos" w:hAnsi="Aptos"/>
                <w:b w:val="0"/>
                <w:sz w:val="17"/>
              </w:rPr>
              <w:t>No benchmark evidence found in reviewed material.</w:t>
            </w:r>
          </w:p>
        </w:tc>
        <w:tc>
          <w:tcPr>
            <w:tcW w:type="dxa" w:w="2592"/>
            <w:vAlign w:val="center"/>
          </w:tcPr>
          <w:p>
            <w:pPr>
              <w:spacing w:after="20" w:before="20"/>
            </w:pPr>
            <w:r/>
            <w:r>
              <w:rPr>
                <w:rFonts w:ascii="Aptos" w:hAnsi="Aptos"/>
                <w:b w:val="0"/>
                <w:sz w:val="17"/>
              </w:rPr>
              <w:t>Not verified.</w:t>
            </w:r>
          </w:p>
        </w:tc>
      </w:tr>
      <w:tr>
        <w:trPr>
          <w:cantSplit/>
        </w:trPr>
        <w:tc>
          <w:tcPr>
            <w:tcW w:type="dxa" w:w="2448"/>
            <w:vAlign w:val="center"/>
          </w:tcPr>
          <w:p>
            <w:pPr>
              <w:spacing w:after="20" w:before="20"/>
            </w:pPr>
            <w:r/>
            <w:r>
              <w:rPr>
                <w:rFonts w:ascii="Aptos" w:hAnsi="Aptos"/>
                <w:b w:val="0"/>
                <w:sz w:val="17"/>
              </w:rPr>
              <w:t>AI tool disclosure</w:t>
            </w:r>
          </w:p>
        </w:tc>
        <w:tc>
          <w:tcPr>
            <w:tcW w:type="dxa" w:w="4464"/>
            <w:vAlign w:val="center"/>
          </w:tcPr>
          <w:p>
            <w:pPr>
              <w:spacing w:after="20" w:before="20"/>
            </w:pPr>
            <w:r/>
            <w:r>
              <w:rPr>
                <w:rFonts w:ascii="Aptos" w:hAnsi="Aptos"/>
                <w:b w:val="0"/>
                <w:sz w:val="17"/>
              </w:rPr>
              <w:t>AI_USAGE.md is empty.</w:t>
            </w:r>
          </w:p>
        </w:tc>
        <w:tc>
          <w:tcPr>
            <w:tcW w:type="dxa" w:w="2592"/>
            <w:vAlign w:val="center"/>
          </w:tcPr>
          <w:p>
            <w:pPr>
              <w:spacing w:after="20" w:before="20"/>
            </w:pPr>
            <w:r/>
            <w:r>
              <w:rPr>
                <w:rFonts w:ascii="Aptos" w:hAnsi="Aptos"/>
                <w:b w:val="0"/>
                <w:sz w:val="17"/>
              </w:rPr>
              <w:t>Needs completion.</w:t>
            </w:r>
          </w:p>
        </w:tc>
      </w:tr>
    </w:tbl>
    <w:p>
      <w:pPr>
        <w:spacing w:after="0"/>
      </w:pPr>
    </w:p>
    <w:p>
      <w:r>
        <w:br w:type="page"/>
      </w:r>
    </w:p>
    <w:p>
      <w:pPr>
        <w:pStyle w:val="Heading1"/>
        <w:keepNext/>
        <w:pageBreakBefore/>
      </w:pPr>
      <w:r>
        <w:t>Appendix C System Diagrams</w:t>
      </w:r>
    </w:p>
    <w:p>
      <w:pPr>
        <w:spacing w:after="160"/>
      </w:pPr>
      <w:r>
        <w:t>These diagrams show the main user actions and application flows described in this report. The architecture and data flow appear in Figure 1.</w:t>
      </w:r>
    </w:p>
    <w:p>
      <w:pPr>
        <w:pStyle w:val="Heading2"/>
      </w:pPr>
      <w:r>
        <w:t>Use Case Diagram</w:t>
      </w:r>
    </w:p>
    <w:p>
      <w:pPr>
        <w:jc w:val="center"/>
      </w:pPr>
      <w:r>
        <w:drawing>
          <wp:inline xmlns:a="http://schemas.openxmlformats.org/drawingml/2006/main" xmlns:pic="http://schemas.openxmlformats.org/drawingml/2006/picture">
            <wp:extent cx="5806440" cy="3629025"/>
            <wp:docPr id="6" name="Picture 6"/>
            <wp:cNvGraphicFramePr>
              <a:graphicFrameLocks noChangeAspect="1"/>
            </wp:cNvGraphicFramePr>
            <a:graphic>
              <a:graphicData uri="http://schemas.openxmlformats.org/drawingml/2006/picture">
                <pic:pic>
                  <pic:nvPicPr>
                    <pic:cNvPr id="0" name="use_case.png"/>
                    <pic:cNvPicPr/>
                  </pic:nvPicPr>
                  <pic:blipFill>
                    <a:blip r:embed="rId16"/>
                    <a:stretch>
                      <a:fillRect/>
                    </a:stretch>
                  </pic:blipFill>
                  <pic:spPr>
                    <a:xfrm>
                      <a:off x="0" y="0"/>
                      <a:ext cx="5806440" cy="3629025"/>
                    </a:xfrm>
                    <a:prstGeom prst="rect"/>
                  </pic:spPr>
                </pic:pic>
              </a:graphicData>
            </a:graphic>
          </wp:inline>
        </w:drawing>
      </w:r>
    </w:p>
    <w:p>
      <w:pPr>
        <w:pStyle w:val="Caption"/>
        <w:spacing w:after="160"/>
        <w:jc w:val="center"/>
      </w:pPr>
      <w:r>
        <w:rPr>
          <w:color w:val="525E68"/>
          <w:sz w:val="17"/>
        </w:rPr>
        <w:t>Figure 4. Main actions by user role.</w:t>
      </w:r>
    </w:p>
    <w:p>
      <w:pPr>
        <w:pStyle w:val="Heading2"/>
      </w:pPr>
      <w:r>
        <w:t>Activity Diagram</w:t>
      </w:r>
    </w:p>
    <w:p>
      <w:pPr>
        <w:jc w:val="center"/>
      </w:pPr>
      <w:r>
        <w:drawing>
          <wp:inline xmlns:a="http://schemas.openxmlformats.org/drawingml/2006/main" xmlns:pic="http://schemas.openxmlformats.org/drawingml/2006/picture">
            <wp:extent cx="5806440" cy="5109667"/>
            <wp:docPr id="7" name="Picture 7"/>
            <wp:cNvGraphicFramePr>
              <a:graphicFrameLocks noChangeAspect="1"/>
            </wp:cNvGraphicFramePr>
            <a:graphic>
              <a:graphicData uri="http://schemas.openxmlformats.org/drawingml/2006/picture">
                <pic:pic>
                  <pic:nvPicPr>
                    <pic:cNvPr id="0" name="activity.png"/>
                    <pic:cNvPicPr/>
                  </pic:nvPicPr>
                  <pic:blipFill>
                    <a:blip r:embed="rId17"/>
                    <a:stretch>
                      <a:fillRect/>
                    </a:stretch>
                  </pic:blipFill>
                  <pic:spPr>
                    <a:xfrm>
                      <a:off x="0" y="0"/>
                      <a:ext cx="5806440" cy="5109667"/>
                    </a:xfrm>
                    <a:prstGeom prst="rect"/>
                  </pic:spPr>
                </pic:pic>
              </a:graphicData>
            </a:graphic>
          </wp:inline>
        </w:drawing>
      </w:r>
    </w:p>
    <w:p>
      <w:pPr>
        <w:pStyle w:val="Caption"/>
        <w:spacing w:after="160"/>
        <w:jc w:val="center"/>
      </w:pPr>
      <w:r>
        <w:rPr>
          <w:color w:val="525E68"/>
          <w:sz w:val="17"/>
        </w:rPr>
        <w:t>Figure 5. Audio analysis and decision flow.</w:t>
      </w:r>
    </w:p>
    <w:p>
      <w:pPr>
        <w:pStyle w:val="Heading2"/>
      </w:pPr>
      <w:r>
        <w:t>Sequence Diagram</w:t>
      </w:r>
    </w:p>
    <w:p>
      <w:pPr>
        <w:jc w:val="center"/>
      </w:pPr>
      <w:r>
        <w:drawing>
          <wp:inline xmlns:a="http://schemas.openxmlformats.org/drawingml/2006/main" xmlns:pic="http://schemas.openxmlformats.org/drawingml/2006/picture">
            <wp:extent cx="5806440" cy="381047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806440" cy="3810476"/>
                    </a:xfrm>
                    <a:prstGeom prst="rect"/>
                  </pic:spPr>
                </pic:pic>
              </a:graphicData>
            </a:graphic>
          </wp:inline>
        </w:drawing>
      </w:r>
    </w:p>
    <w:p>
      <w:pPr>
        <w:pStyle w:val="Caption"/>
        <w:spacing w:after="160"/>
        <w:jc w:val="center"/>
      </w:pPr>
      <w:r>
        <w:rPr>
          <w:color w:val="525E68"/>
          <w:sz w:val="17"/>
        </w:rPr>
        <w:t>Figure 6. Messages exchanged while processing one event.</w:t>
      </w:r>
    </w:p>
    <w:sectPr w:rsidR="00FC693F" w:rsidRPr="0006063C" w:rsidSect="00034616">
      <w:headerReference w:type="default" r:id="rId9"/>
      <w:footerReference w:type="default" r:id="rId10"/>
      <w:pgSz w:w="12240" w:h="15840"/>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646E"/>
        <w:sz w:val="16"/>
      </w:rPr>
      <w:t xml:space="preserve">SonicSentinel AI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556470"/>
        <w:sz w:val="16"/>
      </w:rPr>
      <w:t>SONICSENTINEL AI  |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eastAsia="Aptos"/>
      <w:color w:val="232D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Aptos Display" w:hAnsi="Aptos Display" w:eastAsia="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Aptos Display" w:hAnsi="Aptos Display" w:eastAsia="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Aptos Display" w:hAnsi="Aptos Display" w:eastAsia="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eastAsia="Aptos Display"/>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69" w:lineRule="auto"/>
    </w:pPr>
    <w:rPr>
      <w:rFonts w:ascii="Aptos" w:hAnsi="Aptos" w:eastAsia="Aptos"/>
      <w:color w:val="232D37"/>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SonicSentinel AI Project Documentation</dc:title>
  <dc:subject>Project documentation aligned to the SonicSentinel AI Software Requirements Specification</dc:subject>
  <dc:creator>SonicSentinel AI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