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64E4A" w14:textId="5D497541" w:rsidR="002F68B9" w:rsidRDefault="002F68B9">
      <w:r>
        <w:t>Ethan Chapman</w:t>
      </w:r>
    </w:p>
    <w:p w14:paraId="1468ADAF" w14:textId="204E3EFE" w:rsidR="002F68B9" w:rsidRDefault="002F68B9">
      <w:r>
        <w:t>CS-405</w:t>
      </w:r>
    </w:p>
    <w:p w14:paraId="6AC0C566" w14:textId="3FC261CE" w:rsidR="002F68B9" w:rsidRDefault="002F68B9">
      <w:r>
        <w:t xml:space="preserve">Professor Mills </w:t>
      </w:r>
    </w:p>
    <w:p w14:paraId="6566189B" w14:textId="3B2884D6" w:rsidR="002F68B9" w:rsidRDefault="002F68B9">
      <w:r>
        <w:t xml:space="preserve">Green Pace Security Policy </w:t>
      </w:r>
      <w:r w:rsidR="004206CF" w:rsidRPr="004206CF">
        <w:t>Presentation</w:t>
      </w:r>
    </w:p>
    <w:p w14:paraId="09D389F5" w14:textId="6CA4C053" w:rsidR="00EC4787" w:rsidRPr="00EC4787" w:rsidRDefault="00EC4787" w:rsidP="00EC4787"/>
    <w:p w14:paraId="43B82F02" w14:textId="77777777" w:rsidR="00EC4787" w:rsidRPr="00EC4787" w:rsidRDefault="00EC4787" w:rsidP="00EC4787">
      <w:r w:rsidRPr="00EC4787">
        <w:t>Slide 1 – Title:</w:t>
      </w:r>
      <w:r w:rsidRPr="00EC4787">
        <w:br/>
        <w:t>Good afternoon. My name is Ethan Chapman, and today I will be presenting the Green Pace Security Policy Guide. This presentation outlines standardized security principles, coding standards, encryption strategies, automation processes, and testing methods designed to protect Green Pace systems.</w:t>
      </w:r>
    </w:p>
    <w:p w14:paraId="0BF04209" w14:textId="77777777" w:rsidR="00EC4787" w:rsidRPr="00EC4787" w:rsidRDefault="00EC4787" w:rsidP="00EC4787">
      <w:r w:rsidRPr="00EC4787">
        <w:t>Slide 2 – Overview of Security Policy:</w:t>
      </w:r>
      <w:r w:rsidRPr="00EC4787">
        <w:br/>
        <w:t>As Green Pace continues to grow, it is critical that secure development practices are standardized and consistently enforced. Previously, many of these practices were applied informally, which can create inconsistencies and potential vulnerabilities. This policy formalizes those expectations and aligns with widely recognized industry frameworks such as NIST SP 800-53, which provides structured security control guidance. The goal is to reduce attack surface area, assume vulnerability rather than safety, and implement defense in depth across the organization.</w:t>
      </w:r>
    </w:p>
    <w:p w14:paraId="1B2212BD" w14:textId="77777777" w:rsidR="00EC4787" w:rsidRPr="00EC4787" w:rsidRDefault="00EC4787" w:rsidP="00EC4787">
      <w:r w:rsidRPr="00EC4787">
        <w:t>Slide 3 – Threat Matrix Summary:</w:t>
      </w:r>
      <w:r w:rsidRPr="00EC4787">
        <w:br/>
        <w:t>The threat matrix consolidates all ten coding standards and ranks them by severity, likelihood, remediation cost, and overall priority level. The highest-risk vulnerabilities include SQL injection, memory protection failures, pointer safety errors, input validation weaknesses, and unsafe string handling. These are ranked highest because they could result in database compromise, remote code execution, or system crashes. This prioritization approach mirrors structured risk assessment models commonly recommended in security governance frameworks.</w:t>
      </w:r>
    </w:p>
    <w:p w14:paraId="05358A5F" w14:textId="77777777" w:rsidR="00EC4787" w:rsidRDefault="00EC4787" w:rsidP="00EC4787">
      <w:r w:rsidRPr="00EC4787">
        <w:t>Slide 4 – Automation for Detection:</w:t>
      </w:r>
      <w:r w:rsidRPr="00EC4787">
        <w:br/>
        <w:t>To detect vulnerabilities automatically, Green Pace integrates both static and dynamic testing tools. Static analysis tools such as SonarQube, Cppcheck, and Clang-Tidy scan code during development and help enforce secure coding standards, including guidance from the SEI CERT C++ Secure Coding Standard. Dynamic analysis tools such as AddressSanitizer detect runtime memory violations and unsafe access patterns. By automating detection, vulnerabilities are identified early in the development lifecycle rather than after deployment.</w:t>
      </w:r>
    </w:p>
    <w:p w14:paraId="00B94A5B" w14:textId="6E601F47" w:rsidR="008A4BD7" w:rsidRPr="00EC4787" w:rsidRDefault="008A4BD7" w:rsidP="00EC4787"/>
    <w:p w14:paraId="720A0A58" w14:textId="77777777" w:rsidR="00EC4787" w:rsidRPr="00EC4787" w:rsidRDefault="00EC4787" w:rsidP="00EC4787">
      <w:r w:rsidRPr="00EC4787">
        <w:t>Slide 5 – Ten Core Security Principles:</w:t>
      </w:r>
      <w:r w:rsidRPr="00EC4787">
        <w:br/>
        <w:t>This security policy is grounded in ten core security principles including validating input data, enforcing least privilege, applying defense in depth, and adhering to secure coding standards. These principles reflect internationally recognized security practices and align with standards such as ISO 27001 and NIST guidance. They provide the theoretical foundation that supports all implemented coding standards.</w:t>
      </w:r>
    </w:p>
    <w:p w14:paraId="063BB5C7" w14:textId="77777777" w:rsidR="00EC4787" w:rsidRPr="00EC4787" w:rsidRDefault="00EC4787" w:rsidP="00EC4787">
      <w:r w:rsidRPr="00EC4787">
        <w:t>Slide 6 – Mapping Principles to Standards:</w:t>
      </w:r>
      <w:r w:rsidRPr="00EC4787">
        <w:br/>
        <w:t>Each coding standard directly maps to one or more core security principles. For example, input validation aligns with the Validate Input Data principle. SQL injection prevention aligns with input validation, sanitization, and defense in depth. Memory protection aligns with least privilege and secure coding standards. This mapping ensures that every technical requirement is supported by a larger security philosophy.</w:t>
      </w:r>
    </w:p>
    <w:p w14:paraId="3BB944AC" w14:textId="77777777" w:rsidR="00EC4787" w:rsidRPr="00EC4787" w:rsidRDefault="00EC4787" w:rsidP="00EC4787">
      <w:r w:rsidRPr="00EC4787">
        <w:t>Slide 7 – Coding Standards Prioritized:</w:t>
      </w:r>
      <w:r w:rsidRPr="00EC4787">
        <w:br/>
        <w:t>Coding standards are prioritized based on exploit impact and likelihood. SQL injection prevention is ranked highest because it can directly expose sensitive database information and is consistently identified as a critical risk in the OWASP Top 10 security risks. Memory protection and pointer safety follow due to their potential to cause crashes or allow code execution. Lower-ranked items still present risk but have lower immediate exploitation potential.</w:t>
      </w:r>
    </w:p>
    <w:p w14:paraId="4D8C48DC" w14:textId="77777777" w:rsidR="00EC4787" w:rsidRPr="00EC4787" w:rsidRDefault="00EC4787" w:rsidP="00EC4787">
      <w:r w:rsidRPr="00EC4787">
        <w:t>Slide 8 – Encryption Strategy:</w:t>
      </w:r>
      <w:r w:rsidRPr="00EC4787">
        <w:br/>
        <w:t>The encryption policy includes three layers of protection. Encryption at rest uses AES-256 to protect stored data. Encryption in transit uses TLS 1.2 or higher to secure data during transmission. Encryption in use minimizes the time sensitive data remains decrypted in memory. These encryption controls align with industry best practices and recommended cryptographic standards.</w:t>
      </w:r>
    </w:p>
    <w:p w14:paraId="19D3F99D" w14:textId="77777777" w:rsidR="00EC4787" w:rsidRPr="00EC4787" w:rsidRDefault="00EC4787" w:rsidP="00EC4787">
      <w:r w:rsidRPr="00EC4787">
        <w:t>Slide 9 – Triple-A Framework:</w:t>
      </w:r>
      <w:r w:rsidRPr="00EC4787">
        <w:br/>
        <w:t>The Triple-A framework strengthens system security through authentication, authorization, and accounting. Authentication verifies identity through secure password hashing and multi-factor authentication. Authorization enforces role-based access control and least privilege principles. Accounting logs login activity, database changes, and permission modifications to maintain traceability and support auditing. This structured access control model is foundational to modern security architecture.</w:t>
      </w:r>
    </w:p>
    <w:p w14:paraId="741BBFC4" w14:textId="77777777" w:rsidR="00EC4787" w:rsidRPr="00EC4787" w:rsidRDefault="00EC4787" w:rsidP="00EC4787">
      <w:r w:rsidRPr="00EC4787">
        <w:t>Slide 10 – Unit Testing: Input Validation:</w:t>
      </w:r>
      <w:r w:rsidRPr="00EC4787">
        <w:br/>
        <w:t xml:space="preserve">External testing methods are demonstrated using the Visual Studio C++ unit testing </w:t>
      </w:r>
      <w:r w:rsidRPr="00EC4787">
        <w:lastRenderedPageBreak/>
        <w:t>framework. For input validation, unit tests verify that invalid values are rejected while acceptable values are processed correctly. This ensures boundary conditions are enforced and reduces the risk of malformed input entering the system.</w:t>
      </w:r>
    </w:p>
    <w:p w14:paraId="6798CA32" w14:textId="77777777" w:rsidR="00EC4787" w:rsidRPr="00EC4787" w:rsidRDefault="00EC4787" w:rsidP="00EC4787">
      <w:r w:rsidRPr="00EC4787">
        <w:t>Slide 11 – Unit Testing: SQL Injection:</w:t>
      </w:r>
      <w:r w:rsidRPr="00EC4787">
        <w:br/>
        <w:t>For SQL injection prevention, testing simulates malicious input attempts such as injection strings or suspicious characters. The detection logic identifies unsafe patterns and blocks execution before the database query is processed. This directly addresses injection vulnerabilities, which remain one of the most critical risks identified by OWASP. Console output confirms that injection attempts are detected and prevented.</w:t>
      </w:r>
    </w:p>
    <w:p w14:paraId="6B91D413" w14:textId="77777777" w:rsidR="00EC4787" w:rsidRPr="00EC4787" w:rsidRDefault="00EC4787" w:rsidP="00EC4787">
      <w:r w:rsidRPr="00EC4787">
        <w:t>Slide 12 – Unit Testing: Memory Safety:</w:t>
      </w:r>
      <w:r w:rsidRPr="00EC4787">
        <w:br/>
        <w:t>For memory safety, runtime protections validate buffer size limits and pointer initialization. Testing confirms that oversized input is safely handled and that memory boundaries are respected. Tools such as AddressSanitizer detect out-of-bounds access and other memory violations during execution, reducing the likelihood of crashes and corruption.</w:t>
      </w:r>
    </w:p>
    <w:p w14:paraId="5481DD07" w14:textId="77777777" w:rsidR="00EC4787" w:rsidRPr="00EC4787" w:rsidRDefault="00EC4787" w:rsidP="00EC4787">
      <w:r w:rsidRPr="00EC4787">
        <w:t>Slide 13 – DevSecOps Automation Flow:</w:t>
      </w:r>
      <w:r w:rsidRPr="00EC4787">
        <w:br/>
        <w:t>Security automation is embedded throughout the DevSecOps lifecycle. Static analysis occurs during coding and build phases. Unit tests and runtime analysis execute during testing. Compliance checks verify encryption and access controls before deployment. Continuous monitoring occurs during operations. This ensures security is integrated throughout development rather than treated as a final step.</w:t>
      </w:r>
    </w:p>
    <w:p w14:paraId="150946C3" w14:textId="77777777" w:rsidR="00EC4787" w:rsidRPr="00EC4787" w:rsidRDefault="00EC4787" w:rsidP="00EC4787">
      <w:r w:rsidRPr="00EC4787">
        <w:t>Slide 14 – Risks and Benefits:</w:t>
      </w:r>
      <w:r w:rsidRPr="00EC4787">
        <w:br/>
        <w:t>Addressing vulnerabilities early reduces remediation costs and decreases the likelihood of a breach. Delaying fixes increases financial exposure, regulatory risk, and reputational damage. Proactive security investment provides long-term operational stability and supports compliance with recognized security governance standards.</w:t>
      </w:r>
    </w:p>
    <w:p w14:paraId="1FEC6BED" w14:textId="77777777" w:rsidR="00EC4787" w:rsidRPr="00EC4787" w:rsidRDefault="00EC4787" w:rsidP="00EC4787">
      <w:r w:rsidRPr="00EC4787">
        <w:t>Slide 15 – Future Policy Improvements:</w:t>
      </w:r>
      <w:r w:rsidRPr="00EC4787">
        <w:br/>
        <w:t>Future improvements include dependency vulnerability scanning, container security analysis, continuous penetration testing, secure SDLC training, and adoption of Zero Trust architecture principles. Security policies must evolve as threats evolve.</w:t>
      </w:r>
    </w:p>
    <w:p w14:paraId="4BF528B5" w14:textId="77777777" w:rsidR="00EC4787" w:rsidRPr="00EC4787" w:rsidRDefault="00EC4787" w:rsidP="00EC4787">
      <w:r w:rsidRPr="00EC4787">
        <w:t>Slide 16 – Conclusion:</w:t>
      </w:r>
      <w:r w:rsidRPr="00EC4787">
        <w:br/>
        <w:t xml:space="preserve">In conclusion, this security policy standardizes Green Pace’s secure development practices and aligns them with recognized industry frameworks such as NIST, ISO, OWASP, and the SEI CERT coding standards. By embedding security principles, automation, encryption controls, and testing methods throughout the development lifecycle, Green </w:t>
      </w:r>
      <w:r w:rsidRPr="00EC4787">
        <w:lastRenderedPageBreak/>
        <w:t>Pace strengthens its defense in depth posture and reduces long-term organizational risk. Thank you.</w:t>
      </w:r>
    </w:p>
    <w:p w14:paraId="2D14022F" w14:textId="77777777" w:rsidR="002F68B9" w:rsidRPr="004206CF" w:rsidRDefault="002F68B9" w:rsidP="00EC4787"/>
    <w:sectPr w:rsidR="002F68B9" w:rsidRPr="00420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8B9"/>
    <w:rsid w:val="00030764"/>
    <w:rsid w:val="002F68B9"/>
    <w:rsid w:val="0033518E"/>
    <w:rsid w:val="004041EF"/>
    <w:rsid w:val="004206CF"/>
    <w:rsid w:val="00470F0C"/>
    <w:rsid w:val="004E4F09"/>
    <w:rsid w:val="00802DFF"/>
    <w:rsid w:val="008A4BD7"/>
    <w:rsid w:val="009A385C"/>
    <w:rsid w:val="00A50387"/>
    <w:rsid w:val="00A9512E"/>
    <w:rsid w:val="00AF4DBF"/>
    <w:rsid w:val="00EC4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80116"/>
  <w15:chartTrackingRefBased/>
  <w15:docId w15:val="{9869B94A-6832-4E51-82C7-F0B0D5B1C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8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8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8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8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8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8B9"/>
    <w:rPr>
      <w:rFonts w:eastAsiaTheme="majorEastAsia" w:cstheme="majorBidi"/>
      <w:color w:val="272727" w:themeColor="text1" w:themeTint="D8"/>
    </w:rPr>
  </w:style>
  <w:style w:type="paragraph" w:styleId="Title">
    <w:name w:val="Title"/>
    <w:basedOn w:val="Normal"/>
    <w:next w:val="Normal"/>
    <w:link w:val="TitleChar"/>
    <w:uiPriority w:val="10"/>
    <w:qFormat/>
    <w:rsid w:val="002F6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8B9"/>
    <w:pPr>
      <w:spacing w:before="160"/>
      <w:jc w:val="center"/>
    </w:pPr>
    <w:rPr>
      <w:i/>
      <w:iCs/>
      <w:color w:val="404040" w:themeColor="text1" w:themeTint="BF"/>
    </w:rPr>
  </w:style>
  <w:style w:type="character" w:customStyle="1" w:styleId="QuoteChar">
    <w:name w:val="Quote Char"/>
    <w:basedOn w:val="DefaultParagraphFont"/>
    <w:link w:val="Quote"/>
    <w:uiPriority w:val="29"/>
    <w:rsid w:val="002F68B9"/>
    <w:rPr>
      <w:i/>
      <w:iCs/>
      <w:color w:val="404040" w:themeColor="text1" w:themeTint="BF"/>
    </w:rPr>
  </w:style>
  <w:style w:type="paragraph" w:styleId="ListParagraph">
    <w:name w:val="List Paragraph"/>
    <w:basedOn w:val="Normal"/>
    <w:uiPriority w:val="34"/>
    <w:qFormat/>
    <w:rsid w:val="002F68B9"/>
    <w:pPr>
      <w:ind w:left="720"/>
      <w:contextualSpacing/>
    </w:pPr>
  </w:style>
  <w:style w:type="character" w:styleId="IntenseEmphasis">
    <w:name w:val="Intense Emphasis"/>
    <w:basedOn w:val="DefaultParagraphFont"/>
    <w:uiPriority w:val="21"/>
    <w:qFormat/>
    <w:rsid w:val="002F68B9"/>
    <w:rPr>
      <w:i/>
      <w:iCs/>
      <w:color w:val="0F4761" w:themeColor="accent1" w:themeShade="BF"/>
    </w:rPr>
  </w:style>
  <w:style w:type="paragraph" w:styleId="IntenseQuote">
    <w:name w:val="Intense Quote"/>
    <w:basedOn w:val="Normal"/>
    <w:next w:val="Normal"/>
    <w:link w:val="IntenseQuoteChar"/>
    <w:uiPriority w:val="30"/>
    <w:qFormat/>
    <w:rsid w:val="002F6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8B9"/>
    <w:rPr>
      <w:i/>
      <w:iCs/>
      <w:color w:val="0F4761" w:themeColor="accent1" w:themeShade="BF"/>
    </w:rPr>
  </w:style>
  <w:style w:type="character" w:styleId="IntenseReference">
    <w:name w:val="Intense Reference"/>
    <w:basedOn w:val="DefaultParagraphFont"/>
    <w:uiPriority w:val="32"/>
    <w:qFormat/>
    <w:rsid w:val="002F68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1459</TotalTime>
  <Pages>4</Pages>
  <Words>1084</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Chapman</dc:creator>
  <cp:keywords/>
  <dc:description/>
  <cp:lastModifiedBy>Ethan Chapman</cp:lastModifiedBy>
  <cp:revision>1</cp:revision>
  <dcterms:created xsi:type="dcterms:W3CDTF">2026-02-23T03:04:00Z</dcterms:created>
  <dcterms:modified xsi:type="dcterms:W3CDTF">2026-03-01T21:39:00Z</dcterms:modified>
</cp:coreProperties>
</file>