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Elizabeth Dole Foundation Look-Book</w:t>
      </w:r>
    </w:p>
    <w:p>
      <w:r>
        <w:t>Generated on: 2025-07-14 22:48:32</w:t>
      </w:r>
    </w:p>
    <w:p>
      <w:r>
        <w:br w:type="page"/>
      </w:r>
    </w:p>
    <w:tbl>
      <w:tblPr>
        <w:tblW w:type="auto" w:w="0"/>
        <w:tblLook w:firstColumn="1" w:firstRow="1" w:lastColumn="0" w:lastRow="0" w:noHBand="0" w:noVBand="1" w:val="04A0"/>
      </w:tblPr>
      <w:tblGrid>
        <w:gridCol w:w="2880"/>
        <w:gridCol w:w="2880"/>
        <w:gridCol w:w="2880"/>
      </w:tblGrid>
      <w:tr>
        <w:tc>
          <w:tcPr>
            <w:tcW w:type="dxa" w:w="2160"/>
            <w:vAlign w:val="top"/>
          </w:tcPr>
          <w:p>
            <w:pPr>
              <w:spacing w:after="0"/>
            </w:pPr>
            <w:r>
              <w:drawing>
                <wp:inline xmlns:a="http://schemas.openxmlformats.org/drawingml/2006/main" xmlns:pic="http://schemas.openxmlformats.org/drawingml/2006/picture">
                  <wp:extent cx="1280160" cy="1280160"/>
                  <wp:docPr id="1" name="Picture 1"/>
                  <wp:cNvGraphicFramePr>
                    <a:graphicFrameLocks noChangeAspect="1"/>
                  </wp:cNvGraphicFramePr>
                  <a:graphic>
                    <a:graphicData uri="http://schemas.openxmlformats.org/drawingml/2006/picture">
                      <pic:pic>
                        <pic:nvPicPr>
                          <pic:cNvPr id="0" name="steve_schwab1.jpg"/>
                          <pic:cNvPicPr/>
                        </pic:nvPicPr>
                        <pic:blipFill>
                          <a:blip r:embed="rId9"/>
                          <a:stretch>
                            <a:fillRect/>
                          </a:stretch>
                        </pic:blipFill>
                        <pic:spPr>
                          <a:xfrm>
                            <a:off x="0" y="0"/>
                            <a:ext cx="1280160" cy="1280160"/>
                          </a:xfrm>
                          <a:prstGeom prst="rect"/>
                        </pic:spPr>
                      </pic:pic>
                    </a:graphicData>
                  </a:graphic>
                </wp:inline>
              </w:drawing>
            </w:r>
          </w:p>
        </w:tc>
        <w:tc>
          <w:tcPr>
            <w:tcW w:type="dxa" w:w="4320"/>
          </w:tcPr>
          <w:p>
            <w:pPr>
              <w:pStyle w:val="Heading2"/>
            </w:pPr>
            <w:r>
              <w:t>Steve Schwab</w:t>
            </w:r>
          </w:p>
          <w:p>
            <w:r>
              <w:t xml:space="preserve">Elizabeth Dole Foundation, </w:t>
              <w:br/>
            </w:r>
          </w:p>
        </w:tc>
        <w:tc>
          <w:tcPr>
            <w:tcW w:type="dxa" w:w="1440"/>
          </w:tcPr>
          <w:p/>
        </w:tc>
      </w:tr>
      <w:tr>
        <w:tc>
          <w:tcPr>
            <w:tcW w:type="dxa" w:w="7920"/>
            <w:gridSpan w:val="3"/>
          </w:tcPr>
          <w:p>
            <w:r>
              <w:br/>
            </w:r>
            <w:r>
              <w:t>CEO of the Elizabeth Dole Foundation</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pPr>
              <w:spacing w:after="0"/>
            </w:pPr>
            <w:r>
              <w:drawing>
                <wp:inline xmlns:a="http://schemas.openxmlformats.org/drawingml/2006/main" xmlns:pic="http://schemas.openxmlformats.org/drawingml/2006/picture">
                  <wp:extent cx="1280160" cy="1280160"/>
                  <wp:docPr id="2" name="Picture 2"/>
                  <wp:cNvGraphicFramePr>
                    <a:graphicFrameLocks noChangeAspect="1"/>
                  </wp:cNvGraphicFramePr>
                  <a:graphic>
                    <a:graphicData uri="http://schemas.openxmlformats.org/drawingml/2006/picture">
                      <pic:pic>
                        <pic:nvPicPr>
                          <pic:cNvPr id="0" name="robin_portman1.jpg"/>
                          <pic:cNvPicPr/>
                        </pic:nvPicPr>
                        <pic:blipFill>
                          <a:blip r:embed="rId10"/>
                          <a:stretch>
                            <a:fillRect/>
                          </a:stretch>
                        </pic:blipFill>
                        <pic:spPr>
                          <a:xfrm>
                            <a:off x="0" y="0"/>
                            <a:ext cx="1280160" cy="1280160"/>
                          </a:xfrm>
                          <a:prstGeom prst="rect"/>
                        </pic:spPr>
                      </pic:pic>
                    </a:graphicData>
                  </a:graphic>
                </wp:inline>
              </w:drawing>
            </w:r>
          </w:p>
        </w:tc>
        <w:tc>
          <w:tcPr>
            <w:tcW w:type="dxa" w:w="4320"/>
          </w:tcPr>
          <w:p>
            <w:pPr>
              <w:pStyle w:val="Heading2"/>
            </w:pPr>
            <w:r>
              <w:t>Robin L. Portman</w:t>
            </w:r>
          </w:p>
          <w:p>
            <w:r>
              <w:t xml:space="preserve">EDF Board, </w:t>
              <w:br/>
            </w:r>
          </w:p>
        </w:tc>
        <w:tc>
          <w:tcPr>
            <w:tcW w:type="dxa" w:w="1440"/>
          </w:tcPr>
          <w:p/>
        </w:tc>
      </w:tr>
      <w:tr>
        <w:tc>
          <w:tcPr>
            <w:tcW w:type="dxa" w:w="7920"/>
            <w:gridSpan w:val="3"/>
          </w:tcPr>
          <w:p>
            <w:r>
              <w:br/>
            </w:r>
            <w:r>
              <w:t>Robin is a board member of the Foundation and has personally gifted $62,498.51. She is currently an adjunct professor of business innovations at the Georgetown University School of Nursing &amp; Health Studies, and previously she was the President and CEO of Atlas Research, a health management &amp; technology consulting firm. Before that, Robin was the Executive Vice President at Booz Allen Hamilton.</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pPr>
              <w:spacing w:after="0"/>
            </w:pPr>
            <w:r>
              <w:drawing>
                <wp:inline xmlns:a="http://schemas.openxmlformats.org/drawingml/2006/main" xmlns:pic="http://schemas.openxmlformats.org/drawingml/2006/picture">
                  <wp:extent cx="1280160" cy="1280160"/>
                  <wp:docPr id="3" name="Picture 3"/>
                  <wp:cNvGraphicFramePr>
                    <a:graphicFrameLocks noChangeAspect="1"/>
                  </wp:cNvGraphicFramePr>
                  <a:graphic>
                    <a:graphicData uri="http://schemas.openxmlformats.org/drawingml/2006/picture">
                      <pic:pic>
                        <pic:nvPicPr>
                          <pic:cNvPr id="0" name="patrick_sargent1.jpg"/>
                          <pic:cNvPicPr/>
                        </pic:nvPicPr>
                        <pic:blipFill>
                          <a:blip r:embed="rId11"/>
                          <a:stretch>
                            <a:fillRect/>
                          </a:stretch>
                        </pic:blipFill>
                        <pic:spPr>
                          <a:xfrm>
                            <a:off x="0" y="0"/>
                            <a:ext cx="1280160" cy="1280160"/>
                          </a:xfrm>
                          <a:prstGeom prst="rect"/>
                        </pic:spPr>
                      </pic:pic>
                    </a:graphicData>
                  </a:graphic>
                </wp:inline>
              </w:drawing>
            </w:r>
          </w:p>
        </w:tc>
        <w:tc>
          <w:tcPr>
            <w:tcW w:type="dxa" w:w="4320"/>
          </w:tcPr>
          <w:p>
            <w:pPr>
              <w:pStyle w:val="Heading2"/>
            </w:pPr>
            <w:r>
              <w:t>Patrick Sargent</w:t>
            </w:r>
          </w:p>
          <w:p>
            <w:r>
              <w:t xml:space="preserve">Oracle, </w:t>
              <w:br/>
            </w:r>
          </w:p>
        </w:tc>
        <w:tc>
          <w:tcPr>
            <w:tcW w:type="dxa" w:w="1440"/>
          </w:tcPr>
          <w:p/>
        </w:tc>
      </w:tr>
      <w:tr>
        <w:tc>
          <w:tcPr>
            <w:tcW w:type="dxa" w:w="7920"/>
            <w:gridSpan w:val="3"/>
          </w:tcPr>
          <w:p>
            <w:r>
              <w:br/>
            </w:r>
            <w:r>
              <w:t>Retired U.S. Army Maj. Gen. Patrick Sargent is the Senior Vice President and General Manager of Cerner Government Services at Oracle, where he leads federal contract growth and client account management. Before joining Oracle, he was the Senior Vice President of the Federal Healthcare Sector at OptumServe. A distinguished military officer, Pat served in prominent roles throughout his 35-year career, including as the 18th Chief of the U.S. Army's Medical Service Corps and Commander of U.S. Army Medical Command. He led the Combat Healthcare System in Iraq during Operation Iraqi Freedom and championed medical readiness and patient safety in the Army. Pat holds advanced degrees in Human Resources Development and National Security Strategy and is a board-certified healthcare administrator. He has received numerous honors, including the General Benjamin O. Davis, Jr. National Military Award and the Army Surgeon General?s 9A Proficiency Designator.</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pPr>
              <w:spacing w:after="0"/>
            </w:pPr>
            <w:r>
              <w:drawing>
                <wp:inline xmlns:a="http://schemas.openxmlformats.org/drawingml/2006/main" xmlns:pic="http://schemas.openxmlformats.org/drawingml/2006/picture">
                  <wp:extent cx="1280160" cy="1280160"/>
                  <wp:docPr id="4" name="Picture 4"/>
                  <wp:cNvGraphicFramePr>
                    <a:graphicFrameLocks noChangeAspect="1"/>
                  </wp:cNvGraphicFramePr>
                  <a:graphic>
                    <a:graphicData uri="http://schemas.openxmlformats.org/drawingml/2006/picture">
                      <pic:pic>
                        <pic:nvPicPr>
                          <pic:cNvPr id="0" name="patrick_mellody1.jpg"/>
                          <pic:cNvPicPr/>
                        </pic:nvPicPr>
                        <pic:blipFill>
                          <a:blip r:embed="rId12"/>
                          <a:stretch>
                            <a:fillRect/>
                          </a:stretch>
                        </pic:blipFill>
                        <pic:spPr>
                          <a:xfrm>
                            <a:off x="0" y="0"/>
                            <a:ext cx="1280160" cy="1280160"/>
                          </a:xfrm>
                          <a:prstGeom prst="rect"/>
                        </pic:spPr>
                      </pic:pic>
                    </a:graphicData>
                  </a:graphic>
                </wp:inline>
              </w:drawing>
            </w:r>
          </w:p>
        </w:tc>
        <w:tc>
          <w:tcPr>
            <w:tcW w:type="dxa" w:w="4320"/>
          </w:tcPr>
          <w:p>
            <w:pPr>
              <w:pStyle w:val="Heading2"/>
            </w:pPr>
            <w:r>
              <w:t>Patrick Mellody</w:t>
            </w:r>
          </w:p>
          <w:p>
            <w:r>
              <w:t xml:space="preserve">Keep Our Republic, </w:t>
              <w:br/>
            </w:r>
          </w:p>
        </w:tc>
        <w:tc>
          <w:tcPr>
            <w:tcW w:type="dxa" w:w="1440"/>
          </w:tcPr>
          <w:p/>
        </w:tc>
      </w:tr>
      <w:tr>
        <w:tc>
          <w:tcPr>
            <w:tcW w:type="dxa" w:w="7920"/>
            <w:gridSpan w:val="3"/>
          </w:tcPr>
          <w:p>
            <w:r>
              <w:br/>
            </w:r>
            <w:r>
              <w:t>Patrick is one of the co-chairs for the Elizabeth Dole Foundation?s National Cabinet, which is our premiere major donor society. He leads the society with Anna Palmer, Amna Nawaz, and Paul Werdel. He is also a member of the Heroes &amp; History Makers Host Committee. Additionally, Patrick is a media consultant for political campaigns and is the Founder and Chief COO of Homeland Fuels, LLC.</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pPr>
              <w:spacing w:after="0"/>
            </w:pPr>
            <w:r>
              <w:drawing>
                <wp:inline xmlns:a="http://schemas.openxmlformats.org/drawingml/2006/main" xmlns:pic="http://schemas.openxmlformats.org/drawingml/2006/picture">
                  <wp:extent cx="1280160" cy="1265446"/>
                  <wp:docPr id="5" name="Picture 5"/>
                  <wp:cNvGraphicFramePr>
                    <a:graphicFrameLocks noChangeAspect="1"/>
                  </wp:cNvGraphicFramePr>
                  <a:graphic>
                    <a:graphicData uri="http://schemas.openxmlformats.org/drawingml/2006/picture">
                      <pic:pic>
                        <pic:nvPicPr>
                          <pic:cNvPr id="0" name="michael_steel1.jpg"/>
                          <pic:cNvPicPr/>
                        </pic:nvPicPr>
                        <pic:blipFill>
                          <a:blip r:embed="rId13"/>
                          <a:stretch>
                            <a:fillRect/>
                          </a:stretch>
                        </pic:blipFill>
                        <pic:spPr>
                          <a:xfrm>
                            <a:off x="0" y="0"/>
                            <a:ext cx="1280160" cy="1265446"/>
                          </a:xfrm>
                          <a:prstGeom prst="rect"/>
                        </pic:spPr>
                      </pic:pic>
                    </a:graphicData>
                  </a:graphic>
                </wp:inline>
              </w:drawing>
            </w:r>
          </w:p>
        </w:tc>
        <w:tc>
          <w:tcPr>
            <w:tcW w:type="dxa" w:w="4320"/>
          </w:tcPr>
          <w:p>
            <w:pPr>
              <w:pStyle w:val="Heading2"/>
            </w:pPr>
            <w:r>
              <w:t>Michael Steel</w:t>
            </w:r>
          </w:p>
          <w:p>
            <w:r>
              <w:t xml:space="preserve">Business Roundtable, </w:t>
              <w:br/>
            </w:r>
          </w:p>
        </w:tc>
        <w:tc>
          <w:tcPr>
            <w:tcW w:type="dxa" w:w="1440"/>
          </w:tcPr>
          <w:p/>
        </w:tc>
      </w:tr>
      <w:tr>
        <w:tc>
          <w:tcPr>
            <w:tcW w:type="dxa" w:w="7920"/>
            <w:gridSpan w:val="3"/>
          </w:tcPr>
          <w:p>
            <w:r>
              <w:br/>
            </w:r>
            <w:r>
              <w:t xml:space="preserve">Michael Steel serves as Senior Vice President for Communications at Business Roundtable. In this role, he provides strategic guidance and management of BRT?s efforts to advocate for better public policy solutions. He joined Business Roundtable after five years at Hamilton Place Strategies, a Washington-based public affairs consultancy. </w:t>
              <w:br/>
              <w:br/>
              <w:t xml:space="preserve">Prior to that, he worked on Capitol Hill for a dozen years, serving as spokesman to then-Speaker John Boehner, the House Ways and Means Committee and the House Republican Policy Committee. </w:t>
              <w:br/>
              <w:br/>
              <w:t>He also has extensive political experience, serving as a senior advisor to former Florida Governor Jeb Bush?s presidential effort in 2016, and as spokesman for then-Vice Presidential nominee Paul Ryan in 2012, in addition to roles on Senator Mitt Romney?s 2008 presidential campaign, at the National Republican Congressional Committee and statewide races in Oklahoma and North Carolina.</w:t>
              <w:br/>
              <w:br/>
              <w:t xml:space="preserve">He began his career as a reporter at National Journal, and graduated from the University of North Carolina and Columbia University?s Graduate School of Journalism. </w:t>
              <w:br/>
              <w:br/>
              <w:t>Steel serves on the board of the Elizabeth Dole Foundation, which supports wounded warriors? caregivers, the Board of Advisors at UNC?s Hussman School of Journalism, and has been inducted into the North Carolina Journalism and Media Hall of Fame.</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pPr>
              <w:spacing w:after="0"/>
            </w:pPr>
            <w:r>
              <w:drawing>
                <wp:inline xmlns:a="http://schemas.openxmlformats.org/drawingml/2006/main" xmlns:pic="http://schemas.openxmlformats.org/drawingml/2006/picture">
                  <wp:extent cx="1280160" cy="1284173"/>
                  <wp:docPr id="6" name="Picture 6"/>
                  <wp:cNvGraphicFramePr>
                    <a:graphicFrameLocks noChangeAspect="1"/>
                  </wp:cNvGraphicFramePr>
                  <a:graphic>
                    <a:graphicData uri="http://schemas.openxmlformats.org/drawingml/2006/picture">
                      <pic:pic>
                        <pic:nvPicPr>
                          <pic:cNvPr id="0" name="mark_elliot1.jpg"/>
                          <pic:cNvPicPr/>
                        </pic:nvPicPr>
                        <pic:blipFill>
                          <a:blip r:embed="rId14"/>
                          <a:stretch>
                            <a:fillRect/>
                          </a:stretch>
                        </pic:blipFill>
                        <pic:spPr>
                          <a:xfrm>
                            <a:off x="0" y="0"/>
                            <a:ext cx="1280160" cy="1284173"/>
                          </a:xfrm>
                          <a:prstGeom prst="rect"/>
                        </pic:spPr>
                      </pic:pic>
                    </a:graphicData>
                  </a:graphic>
                </wp:inline>
              </w:drawing>
            </w:r>
          </w:p>
        </w:tc>
        <w:tc>
          <w:tcPr>
            <w:tcW w:type="dxa" w:w="4320"/>
          </w:tcPr>
          <w:p>
            <w:pPr>
              <w:pStyle w:val="Heading2"/>
            </w:pPr>
            <w:r>
              <w:t>Mark Elliot</w:t>
            </w:r>
          </w:p>
          <w:p>
            <w:r>
              <w:t xml:space="preserve">JPMorgan Chase, </w:t>
              <w:br/>
            </w:r>
          </w:p>
        </w:tc>
        <w:tc>
          <w:tcPr>
            <w:tcW w:type="dxa" w:w="1440"/>
          </w:tcPr>
          <w:p/>
        </w:tc>
      </w:tr>
      <w:tr>
        <w:tc>
          <w:tcPr>
            <w:tcW w:type="dxa" w:w="7920"/>
            <w:gridSpan w:val="3"/>
          </w:tcPr>
          <w:p>
            <w:r>
              <w:br/>
            </w:r>
            <w:r>
              <w:t>Col. Mark Elliott, USA (Ret.) is Managing Director and Head of the Office of Military and Veterans Affairs for JPMorgan Chase &amp; Co. He oversees firm-wide, veteran-focused efforts around strategic pillars: Employment, Entrepreneurship, Education and Workforce Development, and Community Engagement.</w:t>
              <w:br/>
              <w:br/>
              <w:t>Over nearly three decades serving in the U.S. Army, Elliott commanded units at the company, battalion and brigade levels. Retiring as a Colonel, his assignments in both conventional and special missions units took him around the world including two deployments to Iraq, with his last serving as aide-de-camp to the commander of all forces in Iraq. Most recently, he was the Director of the Army?s Land Warfare Network at the Pentagon in Washington, D.C.</w:t>
              <w:br/>
              <w:br/>
              <w:t>Elliott joined JPMorgan Chase in 2015 as a senior strategist on Global Technology Infrastructure?s Strategy and Transformation team where he supported the firm?s efforts to create new ways of interacting with customers in a digital environment.</w:t>
              <w:br/>
              <w:t>He holds a Bachelor?s of Science in physics from the University of Alabama, a Masters in Telecommunications Management from Southern Methodist University, and a Masters in Strategic Studies from the National War College in Washington, D.C.</w:t>
              <w:br/>
              <w:br/>
              <w:t>JPMorgan Chase &amp; Co. has given the Elizabeth Dole Foundation $275,800 collectively for Heroes &amp; History Makers, and Mark is on the Host Committee.</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pPr>
              <w:spacing w:after="0"/>
            </w:pPr>
            <w:r>
              <w:drawing>
                <wp:inline xmlns:a="http://schemas.openxmlformats.org/drawingml/2006/main" xmlns:pic="http://schemas.openxmlformats.org/drawingml/2006/picture">
                  <wp:extent cx="1280160" cy="1280160"/>
                  <wp:docPr id="7" name="Picture 7"/>
                  <wp:cNvGraphicFramePr>
                    <a:graphicFrameLocks noChangeAspect="1"/>
                  </wp:cNvGraphicFramePr>
                  <a:graphic>
                    <a:graphicData uri="http://schemas.openxmlformats.org/drawingml/2006/picture">
                      <pic:pic>
                        <pic:nvPicPr>
                          <pic:cNvPr id="0" name="liz_porter1.jpg"/>
                          <pic:cNvPicPr/>
                        </pic:nvPicPr>
                        <pic:blipFill>
                          <a:blip r:embed="rId15"/>
                          <a:stretch>
                            <a:fillRect/>
                          </a:stretch>
                        </pic:blipFill>
                        <pic:spPr>
                          <a:xfrm>
                            <a:off x="0" y="0"/>
                            <a:ext cx="1280160" cy="1280160"/>
                          </a:xfrm>
                          <a:prstGeom prst="rect"/>
                        </pic:spPr>
                      </pic:pic>
                    </a:graphicData>
                  </a:graphic>
                </wp:inline>
              </w:drawing>
            </w:r>
          </w:p>
        </w:tc>
        <w:tc>
          <w:tcPr>
            <w:tcW w:type="dxa" w:w="4320"/>
          </w:tcPr>
          <w:p>
            <w:pPr>
              <w:pStyle w:val="Heading2"/>
            </w:pPr>
            <w:r>
              <w:t>Liz Porter</w:t>
            </w:r>
          </w:p>
          <w:p>
            <w:r>
              <w:t xml:space="preserve">Leidos, </w:t>
              <w:br/>
            </w:r>
          </w:p>
        </w:tc>
        <w:tc>
          <w:tcPr>
            <w:tcW w:type="dxa" w:w="1440"/>
          </w:tcPr>
          <w:p/>
        </w:tc>
      </w:tr>
      <w:tr>
        <w:tc>
          <w:tcPr>
            <w:tcW w:type="dxa" w:w="7920"/>
            <w:gridSpan w:val="3"/>
          </w:tcPr>
          <w:p>
            <w:r>
              <w:br/>
            </w:r>
            <w:r>
              <w:t>Liz Porter is the President of the Health and Civil Sector at Leidos. Previously, Liz served in several executive roles at Leidos, including as President of the Health Group, as Senior Vice President and Operation Manager of Leidos? Federal Energy &amp; Environment business, and as the Department of Defense Information Networks &amp; Mission Partner Program Director. Before Leidos, she worked at Lockheed Martin for just shy of 13 years, and she received an MBA from the University of Colorado at Colorado Springs.</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pPr>
              <w:spacing w:after="0"/>
            </w:pPr>
            <w:r>
              <w:drawing>
                <wp:inline xmlns:a="http://schemas.openxmlformats.org/drawingml/2006/main" xmlns:pic="http://schemas.openxmlformats.org/drawingml/2006/picture">
                  <wp:extent cx="1280160" cy="1285473"/>
                  <wp:docPr id="8" name="Picture 8"/>
                  <wp:cNvGraphicFramePr>
                    <a:graphicFrameLocks noChangeAspect="1"/>
                  </wp:cNvGraphicFramePr>
                  <a:graphic>
                    <a:graphicData uri="http://schemas.openxmlformats.org/drawingml/2006/picture">
                      <pic:pic>
                        <pic:nvPicPr>
                          <pic:cNvPr id="0" name="kimberly_mingo1.jpg"/>
                          <pic:cNvPicPr/>
                        </pic:nvPicPr>
                        <pic:blipFill>
                          <a:blip r:embed="rId16"/>
                          <a:stretch>
                            <a:fillRect/>
                          </a:stretch>
                        </pic:blipFill>
                        <pic:spPr>
                          <a:xfrm>
                            <a:off x="0" y="0"/>
                            <a:ext cx="1280160" cy="1285473"/>
                          </a:xfrm>
                          <a:prstGeom prst="rect"/>
                        </pic:spPr>
                      </pic:pic>
                    </a:graphicData>
                  </a:graphic>
                </wp:inline>
              </w:drawing>
            </w:r>
          </w:p>
        </w:tc>
        <w:tc>
          <w:tcPr>
            <w:tcW w:type="dxa" w:w="4320"/>
          </w:tcPr>
          <w:p>
            <w:pPr>
              <w:pStyle w:val="Heading2"/>
            </w:pPr>
            <w:r>
              <w:t>Kimberly Mingo</w:t>
            </w:r>
          </w:p>
          <w:p>
            <w:r>
              <w:t xml:space="preserve">Philips (Health Systems, Philips North America), </w:t>
              <w:br/>
            </w:r>
          </w:p>
        </w:tc>
        <w:tc>
          <w:tcPr>
            <w:tcW w:type="dxa" w:w="1440"/>
          </w:tcPr>
          <w:p/>
        </w:tc>
      </w:tr>
      <w:tr>
        <w:tc>
          <w:tcPr>
            <w:tcW w:type="dxa" w:w="7920"/>
            <w:gridSpan w:val="3"/>
          </w:tcPr>
          <w:p>
            <w:r>
              <w:br/>
            </w:r>
            <w:r>
              <w:t>Vice President of Government Business &amp; Strategy, Philips: Kim is also an Elizabeth Dole Foundation Board Member. She was previously the Vice President of Government and GPO National Accounts at HillRom, and before that, she was the GM of Government Accounts at GE Healthcare. Kim has a BA in Mathematics from Hampton University.</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not found]</w:t>
            </w:r>
          </w:p>
        </w:tc>
        <w:tc>
          <w:tcPr>
            <w:tcW w:type="dxa" w:w="4320"/>
          </w:tcPr>
          <w:p>
            <w:pPr>
              <w:pStyle w:val="Heading2"/>
            </w:pPr>
            <w:r>
              <w:t>Joyce Campbell Guiffra</w:t>
            </w:r>
          </w:p>
          <w:p>
            <w:r>
              <w:t xml:space="preserve">Campbell Family Foundation, </w:t>
              <w:br/>
            </w:r>
          </w:p>
        </w:tc>
        <w:tc>
          <w:tcPr>
            <w:tcW w:type="dxa" w:w="1440"/>
          </w:tcPr>
          <w:p/>
        </w:tc>
      </w:tr>
      <w:tr>
        <w:tc>
          <w:tcPr>
            <w:tcW w:type="dxa" w:w="7920"/>
            <w:gridSpan w:val="3"/>
          </w:tcPr>
          <w:p>
            <w:r>
              <w:br/>
            </w:r>
            <w:r>
              <w:t>Joyce Giuffra is a communications professional with extensive experience working in government, corporate and nonprofit organizations. She served in the White House Office of Media Relations under President George H.W. Bush and Deputy Press Secretary for U.S. Senate Majority Leader Bob Dole.  Joyce also worked as the Communications Director for the Dole-Kemp '96 presidential campaign. In New York, she was a Director of Corporate Affairs for Burson-Marsteller, a global public relations firm.</w:t>
              <w:br/>
              <w:br/>
              <w:t>Joyce serves on the Board of Maggie's List, a political action committee focused on electing conservative women to federal office, and on the Executive Committee of the Manhattan Republican Party. She is a spokeswoman and active fundraiser for Republican candidates.</w:t>
              <w:br/>
              <w:br/>
              <w:t>Joyce was a presidential nominee for the National Endowment of the Arts, and a former Trustee of American Ballet Theater, School of American Ballet and the Professional Children's School in New York City.</w:t>
              <w:br/>
              <w:br/>
              <w:t>Joyce earned her A.B. cum laude from Dartmouth in Government and Political Philosophy.  She is currently pursuing her Masters of Liberal Studies in Management at Harvard University.  Joyce is married to Bob Giuffra, and has three children, Elizabeth, Caroline and Robert III.</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pPr>
              <w:spacing w:after="0"/>
            </w:pPr>
            <w:r>
              <w:drawing>
                <wp:inline xmlns:a="http://schemas.openxmlformats.org/drawingml/2006/main" xmlns:pic="http://schemas.openxmlformats.org/drawingml/2006/picture">
                  <wp:extent cx="1280160" cy="1280160"/>
                  <wp:docPr id="9" name="Picture 9"/>
                  <wp:cNvGraphicFramePr>
                    <a:graphicFrameLocks noChangeAspect="1"/>
                  </wp:cNvGraphicFramePr>
                  <a:graphic>
                    <a:graphicData uri="http://schemas.openxmlformats.org/drawingml/2006/picture">
                      <pic:pic>
                        <pic:nvPicPr>
                          <pic:cNvPr id="0" name="jeff_dilullo1.jpg"/>
                          <pic:cNvPicPr/>
                        </pic:nvPicPr>
                        <pic:blipFill>
                          <a:blip r:embed="rId17"/>
                          <a:stretch>
                            <a:fillRect/>
                          </a:stretch>
                        </pic:blipFill>
                        <pic:spPr>
                          <a:xfrm>
                            <a:off x="0" y="0"/>
                            <a:ext cx="1280160" cy="1280160"/>
                          </a:xfrm>
                          <a:prstGeom prst="rect"/>
                        </pic:spPr>
                      </pic:pic>
                    </a:graphicData>
                  </a:graphic>
                </wp:inline>
              </w:drawing>
            </w:r>
          </w:p>
        </w:tc>
        <w:tc>
          <w:tcPr>
            <w:tcW w:type="dxa" w:w="4320"/>
          </w:tcPr>
          <w:p>
            <w:pPr>
              <w:pStyle w:val="Heading2"/>
            </w:pPr>
            <w:r>
              <w:t>Jeff DiLullo</w:t>
            </w:r>
          </w:p>
          <w:p>
            <w:r>
              <w:t xml:space="preserve">Philips (Health Systems, Philips North America), </w:t>
              <w:br/>
            </w:r>
          </w:p>
        </w:tc>
        <w:tc>
          <w:tcPr>
            <w:tcW w:type="dxa" w:w="1440"/>
          </w:tcPr>
          <w:p/>
        </w:tc>
      </w:tr>
      <w:tr>
        <w:tc>
          <w:tcPr>
            <w:tcW w:type="dxa" w:w="7920"/>
            <w:gridSpan w:val="3"/>
          </w:tcPr>
          <w:p>
            <w:r>
              <w:br/>
            </w:r>
            <w:r>
              <w:t>Chief Market Leader of Philips North America: Jeff is a West Point graduate with an MBA in Marketing from the University of Tennessee. He has worked at Philips for over five years, during which he has led teams in the design and deployment of efficient and effective selling systems, service and support networks, and go-to-market plans. Jeff has not yet donated to EDF, but he has been a staunch supporter of our events for the past few years.</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pPr>
              <w:spacing w:after="0"/>
            </w:pPr>
            <w:r>
              <w:drawing>
                <wp:inline xmlns:a="http://schemas.openxmlformats.org/drawingml/2006/main" xmlns:pic="http://schemas.openxmlformats.org/drawingml/2006/picture">
                  <wp:extent cx="1280160" cy="1318953"/>
                  <wp:docPr id="10" name="Picture 10"/>
                  <wp:cNvGraphicFramePr>
                    <a:graphicFrameLocks noChangeAspect="1"/>
                  </wp:cNvGraphicFramePr>
                  <a:graphic>
                    <a:graphicData uri="http://schemas.openxmlformats.org/drawingml/2006/picture">
                      <pic:pic>
                        <pic:nvPicPr>
                          <pic:cNvPr id="0" name="diane_mcdonald1.jpg"/>
                          <pic:cNvPicPr/>
                        </pic:nvPicPr>
                        <pic:blipFill>
                          <a:blip r:embed="rId18"/>
                          <a:stretch>
                            <a:fillRect/>
                          </a:stretch>
                        </pic:blipFill>
                        <pic:spPr>
                          <a:xfrm>
                            <a:off x="0" y="0"/>
                            <a:ext cx="1280160" cy="1318953"/>
                          </a:xfrm>
                          <a:prstGeom prst="rect"/>
                        </pic:spPr>
                      </pic:pic>
                    </a:graphicData>
                  </a:graphic>
                </wp:inline>
              </w:drawing>
            </w:r>
          </w:p>
        </w:tc>
        <w:tc>
          <w:tcPr>
            <w:tcW w:type="dxa" w:w="4320"/>
          </w:tcPr>
          <w:p>
            <w:pPr>
              <w:pStyle w:val="Heading2"/>
            </w:pPr>
            <w:r>
              <w:t>Diane McDonald</w:t>
            </w:r>
          </w:p>
          <w:p>
            <w:r>
              <w:t xml:space="preserve">Diane J. and Robert A. McDonald Family Foundation, </w:t>
              <w:br/>
            </w:r>
          </w:p>
        </w:tc>
        <w:tc>
          <w:tcPr>
            <w:tcW w:type="dxa" w:w="1440"/>
          </w:tcPr>
          <w:p/>
        </w:tc>
      </w:tr>
      <w:tr>
        <w:tc>
          <w:tcPr>
            <w:tcW w:type="dxa" w:w="7920"/>
            <w:gridSpan w:val="3"/>
          </w:tcPr>
          <w:p>
            <w:r>
              <w:br/>
            </w:r>
            <w:r>
              <w:t>Diane cofounded the McDonald Family Foundation with her husband Robert to help teach strong values to their children and grandchildren. She also cofounded the biennial McDonald Cadet Leadership Conference held at West Point. The conference pairs students with global leaders to develop leadership and critical thinking skills and apply them to world problems.</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pPr>
              <w:spacing w:after="0"/>
            </w:pPr>
            <w:r>
              <w:drawing>
                <wp:inline xmlns:a="http://schemas.openxmlformats.org/drawingml/2006/main" xmlns:pic="http://schemas.openxmlformats.org/drawingml/2006/picture">
                  <wp:extent cx="1280160" cy="1663558"/>
                  <wp:docPr id="11" name="Picture 11"/>
                  <wp:cNvGraphicFramePr>
                    <a:graphicFrameLocks noChangeAspect="1"/>
                  </wp:cNvGraphicFramePr>
                  <a:graphic>
                    <a:graphicData uri="http://schemas.openxmlformats.org/drawingml/2006/picture">
                      <pic:pic>
                        <pic:nvPicPr>
                          <pic:cNvPr id="0" name="bob_mcdonald1.jpg"/>
                          <pic:cNvPicPr/>
                        </pic:nvPicPr>
                        <pic:blipFill>
                          <a:blip r:embed="rId19"/>
                          <a:stretch>
                            <a:fillRect/>
                          </a:stretch>
                        </pic:blipFill>
                        <pic:spPr>
                          <a:xfrm>
                            <a:off x="0" y="0"/>
                            <a:ext cx="1280160" cy="1663558"/>
                          </a:xfrm>
                          <a:prstGeom prst="rect"/>
                        </pic:spPr>
                      </pic:pic>
                    </a:graphicData>
                  </a:graphic>
                </wp:inline>
              </w:drawing>
            </w:r>
          </w:p>
        </w:tc>
        <w:tc>
          <w:tcPr>
            <w:tcW w:type="dxa" w:w="4320"/>
          </w:tcPr>
          <w:p>
            <w:pPr>
              <w:pStyle w:val="Heading2"/>
            </w:pPr>
            <w:r>
              <w:t>Bob McDonald</w:t>
            </w:r>
          </w:p>
          <w:p>
            <w:r>
              <w:t xml:space="preserve">EDF Board, </w:t>
              <w:br/>
            </w:r>
          </w:p>
        </w:tc>
        <w:tc>
          <w:tcPr>
            <w:tcW w:type="dxa" w:w="1440"/>
          </w:tcPr>
          <w:p/>
        </w:tc>
      </w:tr>
      <w:tr>
        <w:tc>
          <w:tcPr>
            <w:tcW w:type="dxa" w:w="7920"/>
            <w:gridSpan w:val="3"/>
          </w:tcPr>
          <w:p>
            <w:r>
              <w:br/>
            </w:r>
            <w:r>
              <w:t xml:space="preserve">The Elizabeth Dole Foundation Board of Directors unanimously elected the Honorable Robert A. McDonald, eighth Secretary of the U.S. Department of Veterans Affairs, as Chairman of the Foundation?s Board of Directors. Secretary McDonald will officially assume the role on January 1, 2024. Senator Elizabeth Dole, who has chaired the board since she founded the organization in 2012, was named Founder and Chair Emeritus.  </w:t>
              <w:br/>
              <w:br/>
              <w:t xml:space="preserve">?Secretary McDonald has been a long-time friend and partner of the Elizabeth Dole Foundation, and he was the ideal choice for our next Chairman,? said Senator Dole. ?Throughout his years of exceptional leadership in both the public and private sectors, Secretary McDonald exhibited an unwavering commitment to those who serve in uniform, their caregivers, and their families.?   </w:t>
              <w:br/>
              <w:br/>
              <w:t xml:space="preserve">Secretary McDonald was with Procter &amp; Gamble for 33 years, and in 2014, was nominated by President Barack Obama to be Secretary of the U.S. Department of Veterans Affairs and was confirmed unanimously. At a time when the wars in Iraq and Afghanistan were coinciding with a wave of aging veterans seeking VA care, Secretary McDonald set out to modernize the department?s culture, processes, and capabilities. The Secretary also carried out the VA?s mission holistically, supporting veteran families, caregivers, and survivors. Under his leadership, the VA partnered with the Elizabeth Dole Foundation to create the National Convening for Veteran Caregivers and established the basis for the largest expansion of caregiver benefits in history.  </w:t>
              <w:br/>
              <w:br/>
              <w:t>Secretary McDonald is a graduate of the United States Military Academy. In 2020, he was selected as the George W. Bush Institute?s April and Jay Graham Fellow, advocating for post-9/11 veterans and building awareness of the issues they face while transitioning to civilian life. Currently, he is also Chairman of the West Point Association of Graduates, furthering the values and ideals of the United States Military Academy.</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pPr>
              <w:spacing w:after="0"/>
            </w:pPr>
            <w:r>
              <w:drawing>
                <wp:inline xmlns:a="http://schemas.openxmlformats.org/drawingml/2006/main" xmlns:pic="http://schemas.openxmlformats.org/drawingml/2006/picture">
                  <wp:extent cx="1280160" cy="1280160"/>
                  <wp:docPr id="12" name="Picture 12"/>
                  <wp:cNvGraphicFramePr>
                    <a:graphicFrameLocks noChangeAspect="1"/>
                  </wp:cNvGraphicFramePr>
                  <a:graphic>
                    <a:graphicData uri="http://schemas.openxmlformats.org/drawingml/2006/picture">
                      <pic:pic>
                        <pic:nvPicPr>
                          <pic:cNvPr id="0" name="anita_whitehead1.jpg"/>
                          <pic:cNvPicPr/>
                        </pic:nvPicPr>
                        <pic:blipFill>
                          <a:blip r:embed="rId20"/>
                          <a:stretch>
                            <a:fillRect/>
                          </a:stretch>
                        </pic:blipFill>
                        <pic:spPr>
                          <a:xfrm>
                            <a:off x="0" y="0"/>
                            <a:ext cx="1280160" cy="1280160"/>
                          </a:xfrm>
                          <a:prstGeom prst="rect"/>
                        </pic:spPr>
                      </pic:pic>
                    </a:graphicData>
                  </a:graphic>
                </wp:inline>
              </w:drawing>
            </w:r>
          </w:p>
        </w:tc>
        <w:tc>
          <w:tcPr>
            <w:tcW w:type="dxa" w:w="4320"/>
          </w:tcPr>
          <w:p>
            <w:pPr>
              <w:pStyle w:val="Heading2"/>
            </w:pPr>
            <w:r>
              <w:t>Anita Whitehead</w:t>
            </w:r>
          </w:p>
          <w:p>
            <w:r>
              <w:t xml:space="preserve">KPMG, </w:t>
              <w:br/>
            </w:r>
          </w:p>
        </w:tc>
        <w:tc>
          <w:tcPr>
            <w:tcW w:type="dxa" w:w="1440"/>
          </w:tcPr>
          <w:p/>
        </w:tc>
      </w:tr>
      <w:tr>
        <w:tc>
          <w:tcPr>
            <w:tcW w:type="dxa" w:w="7920"/>
            <w:gridSpan w:val="3"/>
          </w:tcPr>
          <w:p>
            <w:r>
              <w:br/>
            </w:r>
            <w:r>
              <w:t>Anita Whitehead is a Principal at KPMG, where she leads the KPMG Foundation and KPMG?s Corporate Citizenship service practice. Anita also works with not-for-profit organizations where she advises on a range of tax and operational issues. Her work experience is international, connecting with clients in Africa, Eastern Europe, Asia Pacific and Southeast Asia (India), as well as North America. Over a career spanning 20 years at KPMG, Whitehead has advised a variety of organizations on their global philanthropic strategies. Prior to KPMG, Anita was a financial analyst at the George Washington University Medical Faculty Associates in Washington, D.C., and a financial analyst for Indiana University Medical Center in Indianapolis, IN. Anita is a board member of the Association for Corporate Citizenship Professionals and the Center for Disaster Philanthropy. She lives in Virginia with her husband, Jay, and daughter, Sara.</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Adam Porter</w:t>
            </w:r>
          </w:p>
          <w:p>
            <w:r>
              <w:t xml:space="preserve">, </w:t>
              <w:br/>
            </w:r>
          </w:p>
        </w:tc>
        <w:tc>
          <w:tcPr>
            <w:tcW w:type="dxa" w:w="1440"/>
          </w:tcPr>
          <w:p/>
        </w:tc>
      </w:tr>
      <w:tr>
        <w:tc>
          <w:tcPr>
            <w:tcW w:type="dxa" w:w="7920"/>
            <w:gridSpan w:val="3"/>
          </w:tcPr>
          <w:p>
            <w:r>
              <w:br/>
            </w:r>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Dylan Tyson</w:t>
            </w:r>
          </w:p>
          <w:p>
            <w:r>
              <w:t xml:space="preserve">, </w:t>
              <w:br/>
            </w:r>
          </w:p>
        </w:tc>
        <w:tc>
          <w:tcPr>
            <w:tcW w:type="dxa" w:w="1440"/>
          </w:tcPr>
          <w:p/>
        </w:tc>
      </w:tr>
      <w:tr>
        <w:tc>
          <w:tcPr>
            <w:tcW w:type="dxa" w:w="7920"/>
            <w:gridSpan w:val="3"/>
          </w:tcPr>
          <w:p>
            <w:r>
              <w:br/>
            </w:r>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Tina Marie Cordova</w:t>
            </w:r>
          </w:p>
          <w:p>
            <w:r>
              <w:t xml:space="preserve">, </w:t>
              <w:br/>
            </w:r>
          </w:p>
        </w:tc>
        <w:tc>
          <w:tcPr>
            <w:tcW w:type="dxa" w:w="1440"/>
          </w:tcPr>
          <w:p/>
        </w:tc>
      </w:tr>
      <w:tr>
        <w:tc>
          <w:tcPr>
            <w:tcW w:type="dxa" w:w="7920"/>
            <w:gridSpan w:val="3"/>
          </w:tcPr>
          <w:p>
            <w:r>
              <w:br/>
            </w:r>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Stewart McLaurin</w:t>
            </w:r>
          </w:p>
          <w:p>
            <w:r>
              <w:t xml:space="preserve">The White House Historical Association, </w:t>
              <w:br/>
            </w:r>
          </w:p>
        </w:tc>
        <w:tc>
          <w:tcPr>
            <w:tcW w:type="dxa" w:w="1440"/>
          </w:tcPr>
          <w:p/>
        </w:tc>
      </w:tr>
      <w:tr>
        <w:tc>
          <w:tcPr>
            <w:tcW w:type="dxa" w:w="7920"/>
            <w:gridSpan w:val="3"/>
          </w:tcPr>
          <w:p>
            <w:r>
              <w:br/>
            </w:r>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Stephen Saunders</w:t>
            </w:r>
          </w:p>
          <w:p>
            <w:r>
              <w:t xml:space="preserve">, </w:t>
              <w:br/>
            </w:r>
          </w:p>
        </w:tc>
        <w:tc>
          <w:tcPr>
            <w:tcW w:type="dxa" w:w="1440"/>
          </w:tcPr>
          <w:p/>
        </w:tc>
      </w:tr>
      <w:tr>
        <w:tc>
          <w:tcPr>
            <w:tcW w:type="dxa" w:w="7920"/>
            <w:gridSpan w:val="3"/>
          </w:tcPr>
          <w:p>
            <w:r>
              <w:br/>
            </w:r>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Elizabeth Field</w:t>
            </w:r>
          </w:p>
          <w:p>
            <w:r>
              <w:t xml:space="preserve">, </w:t>
              <w:br/>
            </w:r>
          </w:p>
        </w:tc>
        <w:tc>
          <w:tcPr>
            <w:tcW w:type="dxa" w:w="1440"/>
          </w:tcPr>
          <w:p/>
        </w:tc>
      </w:tr>
      <w:tr>
        <w:tc>
          <w:tcPr>
            <w:tcW w:type="dxa" w:w="7920"/>
            <w:gridSpan w:val="3"/>
          </w:tcPr>
          <w:p>
            <w:r>
              <w:br/>
            </w:r>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Brandon Hofacker</w:t>
            </w:r>
          </w:p>
          <w:p>
            <w:r>
              <w:t xml:space="preserve">, </w:t>
              <w:br/>
            </w:r>
          </w:p>
        </w:tc>
        <w:tc>
          <w:tcPr>
            <w:tcW w:type="dxa" w:w="1440"/>
          </w:tcPr>
          <w:p/>
        </w:tc>
      </w:tr>
      <w:tr>
        <w:tc>
          <w:tcPr>
            <w:tcW w:type="dxa" w:w="7920"/>
            <w:gridSpan w:val="3"/>
          </w:tcPr>
          <w:p>
            <w:r>
              <w:br/>
            </w:r>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Gia Colombraro</w:t>
            </w:r>
          </w:p>
          <w:p>
            <w:r>
              <w:t xml:space="preserve">, </w:t>
              <w:br/>
            </w:r>
          </w:p>
        </w:tc>
        <w:tc>
          <w:tcPr>
            <w:tcW w:type="dxa" w:w="1440"/>
          </w:tcPr>
          <w:p/>
        </w:tc>
      </w:tr>
      <w:tr>
        <w:tc>
          <w:tcPr>
            <w:tcW w:type="dxa" w:w="7920"/>
            <w:gridSpan w:val="3"/>
          </w:tcPr>
          <w:p>
            <w:r>
              <w:br/>
            </w:r>
            <w:r>
              <w:t>Executive Assistant and Scheduler for Senator Dole</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Elizabeth Dole</w:t>
            </w:r>
          </w:p>
          <w:p>
            <w:r>
              <w:t xml:space="preserve">EDF Board, </w:t>
              <w:br/>
            </w:r>
          </w:p>
        </w:tc>
        <w:tc>
          <w:tcPr>
            <w:tcW w:type="dxa" w:w="1440"/>
          </w:tcPr>
          <w:p/>
        </w:tc>
      </w:tr>
      <w:tr>
        <w:tc>
          <w:tcPr>
            <w:tcW w:type="dxa" w:w="7920"/>
            <w:gridSpan w:val="3"/>
          </w:tcPr>
          <w:p>
            <w:r>
              <w:br/>
            </w:r>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Jim Rushton</w:t>
            </w:r>
          </w:p>
          <w:p>
            <w:r>
              <w:t xml:space="preserve">, </w:t>
              <w:br/>
            </w:r>
          </w:p>
        </w:tc>
        <w:tc>
          <w:tcPr>
            <w:tcW w:type="dxa" w:w="1440"/>
          </w:tcPr>
          <w:p/>
        </w:tc>
      </w:tr>
      <w:tr>
        <w:tc>
          <w:tcPr>
            <w:tcW w:type="dxa" w:w="7920"/>
            <w:gridSpan w:val="3"/>
          </w:tcPr>
          <w:p>
            <w:r>
              <w:br/>
            </w:r>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Petra Schneebauer</w:t>
            </w:r>
          </w:p>
          <w:p>
            <w:r>
              <w:t xml:space="preserve">, </w:t>
              <w:br/>
            </w:r>
          </w:p>
        </w:tc>
        <w:tc>
          <w:tcPr>
            <w:tcW w:type="dxa" w:w="1440"/>
          </w:tcPr>
          <w:p/>
        </w:tc>
      </w:tr>
      <w:tr>
        <w:tc>
          <w:tcPr>
            <w:tcW w:type="dxa" w:w="7920"/>
            <w:gridSpan w:val="3"/>
          </w:tcPr>
          <w:p>
            <w:r>
              <w:br/>
            </w:r>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Katharina Schneebaur</w:t>
            </w:r>
          </w:p>
          <w:p>
            <w:r>
              <w:t xml:space="preserve">, </w:t>
              <w:br/>
            </w:r>
          </w:p>
        </w:tc>
        <w:tc>
          <w:tcPr>
            <w:tcW w:type="dxa" w:w="1440"/>
          </w:tcPr>
          <w:p/>
        </w:tc>
      </w:tr>
      <w:tr>
        <w:tc>
          <w:tcPr>
            <w:tcW w:type="dxa" w:w="7920"/>
            <w:gridSpan w:val="3"/>
          </w:tcPr>
          <w:p>
            <w:r>
              <w:br/>
            </w:r>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Anna Palmer</w:t>
            </w:r>
          </w:p>
          <w:p>
            <w:r>
              <w:t xml:space="preserve">Punchbowl News, </w:t>
              <w:br/>
            </w:r>
          </w:p>
        </w:tc>
        <w:tc>
          <w:tcPr>
            <w:tcW w:type="dxa" w:w="1440"/>
          </w:tcPr>
          <w:p/>
        </w:tc>
      </w:tr>
      <w:tr>
        <w:tc>
          <w:tcPr>
            <w:tcW w:type="dxa" w:w="7920"/>
            <w:gridSpan w:val="3"/>
          </w:tcPr>
          <w:p>
            <w:r>
              <w:br/>
            </w:r>
            <w:r>
              <w:t>Anna is an American political journalist based in Washington, D.C. She has been the co-founder and CEO of Punchbowl News since January 2021, and the host of the related Daily Punch Podcast. She was previously a reporter for Politico and became its senior Washington correspondent.</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Hazel Moran</w:t>
            </w:r>
          </w:p>
          <w:p>
            <w:r>
              <w:t xml:space="preserve">EMD Serono, </w:t>
              <w:br/>
            </w:r>
          </w:p>
        </w:tc>
        <w:tc>
          <w:tcPr>
            <w:tcW w:type="dxa" w:w="1440"/>
          </w:tcPr>
          <w:p/>
        </w:tc>
      </w:tr>
      <w:tr>
        <w:tc>
          <w:tcPr>
            <w:tcW w:type="dxa" w:w="7920"/>
            <w:gridSpan w:val="3"/>
          </w:tcPr>
          <w:p>
            <w:r>
              <w:br/>
            </w:r>
            <w:r>
              <w:t xml:space="preserve">With deep roots and knowledge in patient advocacy, Hazel Moran currently serves as the Vice President, Head of Global Patient Insights and Advocacy for EMD Serono, Inc. where she is responsible for driving the integration of patient voices, insights and perspectives to create meaningful action. </w:t>
              <w:br/>
              <w:br/>
              <w:t>As a dynamic leader and fierce advocate for both patients and their caregivers, Hazel continues to position EMD Serono as a patient-directed company through efforts that serve to raise awareness around caregiving challenges while also supporting patients and advocating for health solutions to address their unmet needs. Prior to this, she held positions as Head of Strategy and Engagement and Senior Director, International Patient Advocacy and Strategic Partnerships for EMD Serono where she led partnerships and strategic alliances with international patient advocacy and professional organizations.</w:t>
              <w:br/>
              <w:br/>
              <w:t>Before joining EMD Serono, Hazel worked for Eisai, Inc. and Alexion Pharmaceuticals, Inc. for 9+ years with increasing responsibilities in areas of patient advocacy, strategic alliances, corporate advocacy, and public policy. Prior to joining industry, she worked for 13 years for a leading mental health patient association in the U.S., driving various initiatives, most notably the National Working Group on Evidence-Based Health Care.</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Terri Stewart</w:t>
            </w:r>
          </w:p>
          <w:p>
            <w:r>
              <w:t xml:space="preserve">EMD Serono, </w:t>
              <w:br/>
            </w:r>
          </w:p>
        </w:tc>
        <w:tc>
          <w:tcPr>
            <w:tcW w:type="dxa" w:w="1440"/>
          </w:tcPr>
          <w:p/>
        </w:tc>
      </w:tr>
      <w:tr>
        <w:tc>
          <w:tcPr>
            <w:tcW w:type="dxa" w:w="7920"/>
            <w:gridSpan w:val="3"/>
          </w:tcPr>
          <w:p>
            <w:r>
              <w:br/>
            </w:r>
            <w:r>
              <w:t>Terri Stewart is Senior Vice President and Head of Global Healthcare Government &amp; Public Affairs for EMD Serono.</w:t>
              <w:br/>
              <w:br/>
              <w:t>Since joining the company in 2018, she has helped launch leading drugs for multiple sclerosis, bladder cancer, and lung cancer, while also serving as a voice for women?s healthcare through EMD Serono?s Healthy Women Healthy Economies initiative, as well as for caregivers through the Embracing CarersÆ program.</w:t>
              <w:br/>
              <w:br/>
              <w:t>Terri has over 20 years of experience in domestic and international healthcare policy and regulatory affairs, with expertise extending to regular interaction with global heads of policy, legislators, government agencies, trade associations, and healthcare industry leaders to drive consensus and impact significant policy changes. Her previous roles include VP of Global Regulatory Intelligence, Policy, and Compliance for Teva Pharmaceuticals and Lead Federal Lobbyist for Barr Laboratories.</w:t>
              <w:br/>
              <w:br/>
              <w:t>Terri holds a J.D. from Catholic University?s Columbus School of Law and a B.A. in Government Affairs from George Mason University.</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Kristin LaRoche</w:t>
            </w:r>
          </w:p>
          <w:p>
            <w:r>
              <w:t xml:space="preserve">, </w:t>
              <w:br/>
            </w:r>
          </w:p>
        </w:tc>
        <w:tc>
          <w:tcPr>
            <w:tcW w:type="dxa" w:w="1440"/>
          </w:tcPr>
          <w:p/>
        </w:tc>
      </w:tr>
      <w:tr>
        <w:tc>
          <w:tcPr>
            <w:tcW w:type="dxa" w:w="7920"/>
            <w:gridSpan w:val="3"/>
          </w:tcPr>
          <w:p>
            <w:r>
              <w:br/>
            </w:r>
            <w:r>
              <w:t xml:space="preserve">Kristin LaRoche is a public affairs professional with more than a decade of experience working with purpose-driven health care organizations. At the intersection of advocacy, policy, and communications, Kristin helps organizations understand the impact of political changes on business strategy and guides them in developing a strong voice to advance public policy changes. She joined AARP as Deputy Chief of Staff in March 2025, and she's served on the board for Urbanity Dance since August 2019.  </w:t>
              <w:br/>
              <w:br/>
              <w:t>Kristin took her first dance class at age four and 18 years later, she graduated from The George Washington University with a degree in dance from the Columbian College of Arts and Science and a degree in international affairs from the Elliott School of International Affairs.</w:t>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Christian Rautenstrauch</w:t>
            </w:r>
          </w:p>
          <w:p>
            <w:r>
              <w:t xml:space="preserve">, </w:t>
              <w:br/>
            </w:r>
          </w:p>
        </w:tc>
        <w:tc>
          <w:tcPr>
            <w:tcW w:type="dxa" w:w="1440"/>
          </w:tcPr>
          <w:p/>
        </w:tc>
      </w:tr>
      <w:tr>
        <w:tc>
          <w:tcPr>
            <w:tcW w:type="dxa" w:w="7920"/>
            <w:gridSpan w:val="3"/>
          </w:tcPr>
          <w:p>
            <w:r>
              <w:br/>
            </w:r>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Thelma Ferguson</w:t>
            </w:r>
          </w:p>
          <w:p>
            <w:r>
              <w:t xml:space="preserve">, </w:t>
              <w:br/>
            </w:r>
          </w:p>
        </w:tc>
        <w:tc>
          <w:tcPr>
            <w:tcW w:type="dxa" w:w="1440"/>
          </w:tcPr>
          <w:p/>
        </w:tc>
      </w:tr>
      <w:tr>
        <w:tc>
          <w:tcPr>
            <w:tcW w:type="dxa" w:w="7920"/>
            <w:gridSpan w:val="3"/>
          </w:tcPr>
          <w:p>
            <w:r>
              <w:br/>
            </w:r>
            <w:r/>
          </w:p>
        </w:tc>
      </w:tr>
    </w:tbl>
    <w:p>
      <w:r>
        <w:br/>
      </w:r>
    </w:p>
    <w:tbl>
      <w:tblPr>
        <w:tblW w:type="auto" w:w="0"/>
        <w:tblLook w:firstColumn="1" w:firstRow="1" w:lastColumn="0" w:lastRow="0" w:noHBand="0" w:noVBand="1" w:val="04A0"/>
      </w:tblPr>
      <w:tblGrid>
        <w:gridCol w:w="2880"/>
        <w:gridCol w:w="2880"/>
        <w:gridCol w:w="2880"/>
      </w:tblGrid>
      <w:tr>
        <w:tc>
          <w:tcPr>
            <w:tcW w:type="dxa" w:w="2160"/>
            <w:vAlign w:val="top"/>
          </w:tcPr>
          <w:p>
            <w:r>
              <w:t>[Image error]</w:t>
            </w:r>
          </w:p>
        </w:tc>
        <w:tc>
          <w:tcPr>
            <w:tcW w:type="dxa" w:w="4320"/>
          </w:tcPr>
          <w:p>
            <w:pPr>
              <w:pStyle w:val="Heading2"/>
            </w:pPr>
            <w:r>
              <w:t>Megan Murray</w:t>
            </w:r>
          </w:p>
          <w:p>
            <w:r>
              <w:t xml:space="preserve">JPMorgan Chase, </w:t>
              <w:br/>
            </w:r>
          </w:p>
        </w:tc>
        <w:tc>
          <w:tcPr>
            <w:tcW w:type="dxa" w:w="1440"/>
          </w:tcPr>
          <w:p/>
        </w:tc>
      </w:tr>
      <w:tr>
        <w:tc>
          <w:tcPr>
            <w:tcW w:type="dxa" w:w="7920"/>
            <w:gridSpan w:val="3"/>
          </w:tcPr>
          <w:p>
            <w:r>
              <w:br/>
            </w:r>
            <w:r>
              <w:t>Megan Murray is a proven leader with more than a decade of experience in program development, communications, marketing, and event management. She has a strong track record of success serving individuals and organizations from diverse backgrounds across public, private, start-up, and non-profit sectors nationwide. Known for her attention to detail, creativity, and ability to manage competing priorities, Megan excels at "connecting the dots" and building strong relationships with staff, leadership, and stakeholders at all levels.</w:t>
              <w:br/>
              <w:br/>
              <w:t>Currently, Megan serves as the Executive Director of Programs and Outreach for FedHealthIT/G2Xchange, where she provides strategic oversight for a portfolio of initiatives aimed at strengthening connections between Government and Industry in the Federal technology and IT sectors. She leads a geographically dispersed, cross-functional team to bring events from concept to execution, enhance communications, and build partnerships that deliver increased value and impact to the organization.</w:t>
              <w:br/>
              <w:br/>
              <w:t>Megan is also a proud and dedicated member of the military community and continues to serve as an active volunteer and advocate in both the veteran and performing arts communities.</w:t>
            </w: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