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Howler Ticket Transfer — Exact Process &amp; Required Information</w:t>
      </w:r>
    </w:p>
    <w:p>
      <w:pPr>
        <w:spacing w:after="40"/>
      </w:pPr>
      <w:r>
        <w:rPr>
          <w:b/>
          <w:sz w:val="22"/>
        </w:rPr>
        <w:t>A sender/receiver breakdown of Howler’s current person-to-person transfer workflow.</w:t>
      </w:r>
    </w:p>
    <w:p>
      <w:pPr>
        <w:spacing w:after="200"/>
      </w:pPr>
      <w:r>
        <w:rPr>
          <w:i/>
          <w:sz w:val="18"/>
        </w:rPr>
        <w:t>Research date: 5 September 2026 | Scope: Howler South Africa public legal/help documentation</w:t>
      </w:r>
    </w:p>
    <w:tbl>
      <w:tblPr>
        <w:tblW w:type="auto" w:w="0"/>
        <w:jc w:val="center"/>
        <w:tblLayout w:type="autofit"/>
        <w:tblLook w:firstColumn="1" w:firstRow="1" w:lastColumn="0" w:lastRow="0" w:noHBand="0" w:noVBand="1" w:val="04A0"/>
      </w:tblPr>
      <w:tblGrid>
        <w:gridCol w:w="9936"/>
      </w:tblGrid>
      <w:tr>
        <w:tc>
          <w:tcPr>
            <w:tcW w:type="dxa" w:w="9936"/>
            <w:shd w:fill="F2F2F2"/>
            <w:tcMar>
              <w:top w:w="120" w:type="dxa"/>
              <w:start w:w="140" w:type="dxa"/>
              <w:bottom w:w="120" w:type="dxa"/>
              <w:end w:w="140" w:type="dxa"/>
            </w:tcMar>
          </w:tcPr>
          <w:p>
            <w:r>
              <w:rPr>
                <w:b/>
              </w:rPr>
              <w:t xml:space="preserve">At a glance: </w:t>
            </w:r>
            <w:r>
              <w:t>The sender initiates the transfer from the ticket in their own Howler account. The recipient does not need to supply payment details to the transfer form; the transfer form shown in Howler’s official help documentation asks for the recipient’s first name, last name and email address (entered twice).</w:t>
            </w:r>
          </w:p>
        </w:tc>
      </w:tr>
    </w:tbl>
    <w:p>
      <w:pPr>
        <w:spacing w:after="0"/>
      </w:pPr>
    </w:p>
    <w:p>
      <w:pPr>
        <w:pStyle w:val="Heading1"/>
      </w:pPr>
      <w:r>
        <w:t>1. Information required from the sender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7E6E6"/>
            <w:vAlign w:val="center"/>
          </w:tcPr>
          <w:p>
            <w:r>
              <w:t>Sender requirement</w:t>
            </w:r>
          </w:p>
        </w:tc>
        <w:tc>
          <w:tcPr>
            <w:tcW w:type="dxa" w:w="3312"/>
            <w:shd w:fill="E7E6E6"/>
            <w:vAlign w:val="center"/>
          </w:tcPr>
          <w:p>
            <w:r>
              <w:t>What is needed</w:t>
            </w:r>
          </w:p>
        </w:tc>
        <w:tc>
          <w:tcPr>
            <w:tcW w:type="dxa" w:w="3312"/>
            <w:shd w:fill="E7E6E6"/>
            <w:vAlign w:val="center"/>
          </w:tcPr>
          <w:p>
            <w:r>
              <w:t>Why</w:t>
            </w:r>
          </w:p>
        </w:tc>
      </w:tr>
      <w:tr>
        <w:tc>
          <w:tcPr>
            <w:tcW w:type="dxa" w:w="3312"/>
            <w:vAlign w:val="top"/>
            <w:tcMar>
              <w:top w:w="80" w:type="dxa"/>
              <w:start w:w="100" w:type="dxa"/>
              <w:bottom w:w="80" w:type="dxa"/>
              <w:end w:w="100" w:type="dxa"/>
            </w:tcMar>
          </w:tcPr>
          <w:p>
            <w:r>
              <w:t>Howler account access</w:t>
            </w:r>
          </w:p>
        </w:tc>
        <w:tc>
          <w:tcPr>
            <w:tcW w:type="dxa" w:w="3312"/>
            <w:vAlign w:val="top"/>
            <w:tcMar>
              <w:top w:w="80" w:type="dxa"/>
              <w:start w:w="100" w:type="dxa"/>
              <w:bottom w:w="80" w:type="dxa"/>
              <w:end w:w="100" w:type="dxa"/>
            </w:tcMar>
          </w:tcPr>
          <w:p>
            <w:r>
              <w:t>Login access to the Howler account where the ticket is listed.</w:t>
            </w:r>
          </w:p>
        </w:tc>
        <w:tc>
          <w:tcPr>
            <w:tcW w:type="dxa" w:w="3312"/>
            <w:vAlign w:val="top"/>
            <w:tcMar>
              <w:top w:w="80" w:type="dxa"/>
              <w:start w:w="100" w:type="dxa"/>
              <w:bottom w:w="80" w:type="dxa"/>
              <w:end w:w="100" w:type="dxa"/>
            </w:tcMar>
          </w:tcPr>
          <w:p>
            <w:r>
              <w:t>The transfer action is started from the sender’s Tickets tab.</w:t>
            </w:r>
          </w:p>
        </w:tc>
      </w:tr>
      <w:tr>
        <w:tc>
          <w:tcPr>
            <w:tcW w:type="dxa" w:w="3312"/>
            <w:vAlign w:val="top"/>
            <w:tcMar>
              <w:top w:w="80" w:type="dxa"/>
              <w:start w:w="100" w:type="dxa"/>
              <w:bottom w:w="80" w:type="dxa"/>
              <w:end w:w="100" w:type="dxa"/>
            </w:tcMar>
          </w:tcPr>
          <w:p>
            <w:r>
              <w:t>Account email</w:t>
            </w:r>
          </w:p>
        </w:tc>
        <w:tc>
          <w:tcPr>
            <w:tcW w:type="dxa" w:w="3312"/>
            <w:vAlign w:val="top"/>
            <w:tcMar>
              <w:top w:w="80" w:type="dxa"/>
              <w:start w:w="100" w:type="dxa"/>
              <w:bottom w:w="80" w:type="dxa"/>
              <w:end w:w="100" w:type="dxa"/>
            </w:tcMar>
          </w:tcPr>
          <w:p>
            <w:r>
              <w:t>The email address under which the ticket is listed.</w:t>
            </w:r>
          </w:p>
        </w:tc>
        <w:tc>
          <w:tcPr>
            <w:tcW w:type="dxa" w:w="3312"/>
            <w:vAlign w:val="top"/>
            <w:tcMar>
              <w:top w:w="80" w:type="dxa"/>
              <w:start w:w="100" w:type="dxa"/>
              <w:bottom w:w="80" w:type="dxa"/>
              <w:end w:w="100" w:type="dxa"/>
            </w:tcMar>
          </w:tcPr>
          <w:p>
            <w:r>
              <w:t>Howler instructs the sender to log in using this email address.</w:t>
            </w:r>
          </w:p>
        </w:tc>
      </w:tr>
      <w:tr>
        <w:tc>
          <w:tcPr>
            <w:tcW w:type="dxa" w:w="3312"/>
            <w:vAlign w:val="top"/>
            <w:tcMar>
              <w:top w:w="80" w:type="dxa"/>
              <w:start w:w="100" w:type="dxa"/>
              <w:bottom w:w="80" w:type="dxa"/>
              <w:end w:w="100" w:type="dxa"/>
            </w:tcMar>
          </w:tcPr>
          <w:p>
            <w:r>
              <w:t>Correct ticket selection</w:t>
            </w:r>
          </w:p>
        </w:tc>
        <w:tc>
          <w:tcPr>
            <w:tcW w:type="dxa" w:w="3312"/>
            <w:vAlign w:val="top"/>
            <w:tcMar>
              <w:top w:w="80" w:type="dxa"/>
              <w:start w:w="100" w:type="dxa"/>
              <w:bottom w:w="80" w:type="dxa"/>
              <w:end w:w="100" w:type="dxa"/>
            </w:tcMar>
          </w:tcPr>
          <w:p>
            <w:r>
              <w:t>The sender must choose the exact ticket to be transferred.</w:t>
            </w:r>
          </w:p>
        </w:tc>
        <w:tc>
          <w:tcPr>
            <w:tcW w:type="dxa" w:w="3312"/>
            <w:vAlign w:val="top"/>
            <w:tcMar>
              <w:top w:w="80" w:type="dxa"/>
              <w:start w:w="100" w:type="dxa"/>
              <w:bottom w:w="80" w:type="dxa"/>
              <w:end w:w="100" w:type="dxa"/>
            </w:tcMar>
          </w:tcPr>
          <w:p>
            <w:r>
              <w:t>The selected ticket is cancelled once the transfer completes.</w:t>
            </w:r>
          </w:p>
        </w:tc>
      </w:tr>
      <w:tr>
        <w:tc>
          <w:tcPr>
            <w:tcW w:type="dxa" w:w="3312"/>
            <w:vAlign w:val="top"/>
            <w:tcMar>
              <w:top w:w="80" w:type="dxa"/>
              <w:start w:w="100" w:type="dxa"/>
              <w:bottom w:w="80" w:type="dxa"/>
              <w:end w:w="100" w:type="dxa"/>
            </w:tcMar>
          </w:tcPr>
          <w:p>
            <w:r>
              <w:t>Recipient details</w:t>
            </w:r>
          </w:p>
        </w:tc>
        <w:tc>
          <w:tcPr>
            <w:tcW w:type="dxa" w:w="3312"/>
            <w:vAlign w:val="top"/>
            <w:tcMar>
              <w:top w:w="80" w:type="dxa"/>
              <w:start w:w="100" w:type="dxa"/>
              <w:bottom w:w="80" w:type="dxa"/>
              <w:end w:w="100" w:type="dxa"/>
            </w:tcMar>
          </w:tcPr>
          <w:p>
            <w:r>
              <w:t>Recipient first name, last name, email address, and confirmation of the email address.</w:t>
            </w:r>
          </w:p>
        </w:tc>
        <w:tc>
          <w:tcPr>
            <w:tcW w:type="dxa" w:w="3312"/>
            <w:vAlign w:val="top"/>
            <w:tcMar>
              <w:top w:w="80" w:type="dxa"/>
              <w:start w:w="100" w:type="dxa"/>
              <w:bottom w:w="80" w:type="dxa"/>
              <w:end w:w="100" w:type="dxa"/>
            </w:tcMar>
          </w:tcPr>
          <w:p>
            <w:r>
              <w:t>These are the fields displayed in Howler’s transfer form.</w:t>
            </w:r>
          </w:p>
        </w:tc>
      </w:tr>
      <w:tr>
        <w:tc>
          <w:tcPr>
            <w:tcW w:type="dxa" w:w="3312"/>
            <w:vAlign w:val="top"/>
            <w:tcMar>
              <w:top w:w="80" w:type="dxa"/>
              <w:start w:w="100" w:type="dxa"/>
              <w:bottom w:w="80" w:type="dxa"/>
              <w:end w:w="100" w:type="dxa"/>
            </w:tcMar>
          </w:tcPr>
          <w:p>
            <w:r>
              <w:t>Event-specific payment, if any</w:t>
            </w:r>
          </w:p>
        </w:tc>
        <w:tc>
          <w:tcPr>
            <w:tcW w:type="dxa" w:w="3312"/>
            <w:vAlign w:val="top"/>
            <w:tcMar>
              <w:top w:w="80" w:type="dxa"/>
              <w:start w:w="100" w:type="dxa"/>
              <w:bottom w:w="80" w:type="dxa"/>
              <w:end w:w="100" w:type="dxa"/>
            </w:tcMar>
          </w:tcPr>
          <w:p>
            <w:r>
              <w:t>Only where the organiser has configured a transfer fee.</w:t>
            </w:r>
          </w:p>
        </w:tc>
        <w:tc>
          <w:tcPr>
            <w:tcW w:type="dxa" w:w="3312"/>
            <w:vAlign w:val="top"/>
            <w:tcMar>
              <w:top w:w="80" w:type="dxa"/>
              <w:start w:w="100" w:type="dxa"/>
              <w:bottom w:w="80" w:type="dxa"/>
              <w:end w:w="100" w:type="dxa"/>
            </w:tcMar>
          </w:tcPr>
          <w:p>
            <w:r>
              <w:t>Howler’s generic transfer article does not state a universal fee; some events add one.</w:t>
            </w:r>
          </w:p>
        </w:tc>
      </w:tr>
    </w:tbl>
    <w:p>
      <w:r>
        <w:br w:type="page"/>
      </w:r>
    </w:p>
    <w:p>
      <w:pPr>
        <w:pStyle w:val="Heading1"/>
      </w:pPr>
      <w:r>
        <w:t>2. Information required from the recipient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7E6E6"/>
          </w:tcPr>
          <w:p>
            <w:r>
              <w:t>Recipient requirement</w:t>
            </w:r>
          </w:p>
        </w:tc>
        <w:tc>
          <w:tcPr>
            <w:tcW w:type="dxa" w:w="3312"/>
            <w:shd w:fill="E7E6E6"/>
          </w:tcPr>
          <w:p>
            <w:r>
              <w:t>What is needed</w:t>
            </w:r>
          </w:p>
        </w:tc>
        <w:tc>
          <w:tcPr>
            <w:tcW w:type="dxa" w:w="3312"/>
            <w:shd w:fill="E7E6E6"/>
          </w:tcPr>
          <w:p>
            <w:r>
              <w:t>When/why</w:t>
            </w:r>
          </w:p>
        </w:tc>
      </w:tr>
      <w:tr>
        <w:tc>
          <w:tcPr>
            <w:tcW w:type="dxa" w:w="3312"/>
            <w:vAlign w:val="top"/>
            <w:tcMar>
              <w:top w:w="80" w:type="dxa"/>
              <w:start w:w="100" w:type="dxa"/>
              <w:bottom w:w="80" w:type="dxa"/>
              <w:end w:w="100" w:type="dxa"/>
            </w:tcMar>
          </w:tcPr>
          <w:p>
            <w:r>
              <w:t>First name</w:t>
            </w:r>
          </w:p>
        </w:tc>
        <w:tc>
          <w:tcPr>
            <w:tcW w:type="dxa" w:w="3312"/>
            <w:vAlign w:val="top"/>
            <w:tcMar>
              <w:top w:w="80" w:type="dxa"/>
              <w:start w:w="100" w:type="dxa"/>
              <w:bottom w:w="80" w:type="dxa"/>
              <w:end w:w="100" w:type="dxa"/>
            </w:tcMar>
          </w:tcPr>
          <w:p>
            <w:r>
              <w:t>Recipient’s first name.</w:t>
            </w:r>
          </w:p>
        </w:tc>
        <w:tc>
          <w:tcPr>
            <w:tcW w:type="dxa" w:w="3312"/>
            <w:vAlign w:val="top"/>
            <w:tcMar>
              <w:top w:w="80" w:type="dxa"/>
              <w:start w:w="100" w:type="dxa"/>
              <w:bottom w:w="80" w:type="dxa"/>
              <w:end w:w="100" w:type="dxa"/>
            </w:tcMar>
          </w:tcPr>
          <w:p>
            <w:r>
              <w:t>Entered by the sender in the transfer form.</w:t>
            </w:r>
          </w:p>
        </w:tc>
      </w:tr>
      <w:tr>
        <w:tc>
          <w:tcPr>
            <w:tcW w:type="dxa" w:w="3312"/>
            <w:vAlign w:val="top"/>
            <w:tcMar>
              <w:top w:w="80" w:type="dxa"/>
              <w:start w:w="100" w:type="dxa"/>
              <w:bottom w:w="80" w:type="dxa"/>
              <w:end w:w="100" w:type="dxa"/>
            </w:tcMar>
          </w:tcPr>
          <w:p>
            <w:r>
              <w:t>Last name</w:t>
            </w:r>
          </w:p>
        </w:tc>
        <w:tc>
          <w:tcPr>
            <w:tcW w:type="dxa" w:w="3312"/>
            <w:vAlign w:val="top"/>
            <w:tcMar>
              <w:top w:w="80" w:type="dxa"/>
              <w:start w:w="100" w:type="dxa"/>
              <w:bottom w:w="80" w:type="dxa"/>
              <w:end w:w="100" w:type="dxa"/>
            </w:tcMar>
          </w:tcPr>
          <w:p>
            <w:r>
              <w:t>Recipient’s last name.</w:t>
            </w:r>
          </w:p>
        </w:tc>
        <w:tc>
          <w:tcPr>
            <w:tcW w:type="dxa" w:w="3312"/>
            <w:vAlign w:val="top"/>
            <w:tcMar>
              <w:top w:w="80" w:type="dxa"/>
              <w:start w:w="100" w:type="dxa"/>
              <w:bottom w:w="80" w:type="dxa"/>
              <w:end w:w="100" w:type="dxa"/>
            </w:tcMar>
          </w:tcPr>
          <w:p>
            <w:r>
              <w:t>Entered by the sender in the transfer form.</w:t>
            </w:r>
          </w:p>
        </w:tc>
      </w:tr>
      <w:tr>
        <w:tc>
          <w:tcPr>
            <w:tcW w:type="dxa" w:w="3312"/>
            <w:vAlign w:val="top"/>
            <w:tcMar>
              <w:top w:w="80" w:type="dxa"/>
              <w:start w:w="100" w:type="dxa"/>
              <w:bottom w:w="80" w:type="dxa"/>
              <w:end w:w="100" w:type="dxa"/>
            </w:tcMar>
          </w:tcPr>
          <w:p>
            <w:r>
              <w:t>Email address</w:t>
            </w:r>
          </w:p>
        </w:tc>
        <w:tc>
          <w:tcPr>
            <w:tcW w:type="dxa" w:w="3312"/>
            <w:vAlign w:val="top"/>
            <w:tcMar>
              <w:top w:w="80" w:type="dxa"/>
              <w:start w:w="100" w:type="dxa"/>
              <w:bottom w:w="80" w:type="dxa"/>
              <w:end w:w="100" w:type="dxa"/>
            </w:tcMar>
          </w:tcPr>
          <w:p>
            <w:r>
              <w:t>A valid email address that will own/access the ticket.</w:t>
            </w:r>
          </w:p>
        </w:tc>
        <w:tc>
          <w:tcPr>
            <w:tcW w:type="dxa" w:w="3312"/>
            <w:vAlign w:val="top"/>
            <w:tcMar>
              <w:top w:w="80" w:type="dxa"/>
              <w:start w:w="100" w:type="dxa"/>
              <w:bottom w:w="80" w:type="dxa"/>
              <w:end w:w="100" w:type="dxa"/>
            </w:tcMar>
          </w:tcPr>
          <w:p>
            <w:r>
              <w:t>The new ticket is issued to this address.</w:t>
            </w:r>
          </w:p>
        </w:tc>
      </w:tr>
      <w:tr>
        <w:tc>
          <w:tcPr>
            <w:tcW w:type="dxa" w:w="3312"/>
            <w:vAlign w:val="top"/>
            <w:tcMar>
              <w:top w:w="80" w:type="dxa"/>
              <w:start w:w="100" w:type="dxa"/>
              <w:bottom w:w="80" w:type="dxa"/>
              <w:end w:w="100" w:type="dxa"/>
            </w:tcMar>
          </w:tcPr>
          <w:p>
            <w:r>
              <w:t>Email confirmation</w:t>
            </w:r>
          </w:p>
        </w:tc>
        <w:tc>
          <w:tcPr>
            <w:tcW w:type="dxa" w:w="3312"/>
            <w:vAlign w:val="top"/>
            <w:tcMar>
              <w:top w:w="80" w:type="dxa"/>
              <w:start w:w="100" w:type="dxa"/>
              <w:bottom w:w="80" w:type="dxa"/>
              <w:end w:w="100" w:type="dxa"/>
            </w:tcMar>
          </w:tcPr>
          <w:p>
            <w:r>
              <w:t>The same recipient email entered a second time.</w:t>
            </w:r>
          </w:p>
        </w:tc>
        <w:tc>
          <w:tcPr>
            <w:tcW w:type="dxa" w:w="3312"/>
            <w:vAlign w:val="top"/>
            <w:tcMar>
              <w:top w:w="80" w:type="dxa"/>
              <w:start w:w="100" w:type="dxa"/>
              <w:bottom w:w="80" w:type="dxa"/>
              <w:end w:w="100" w:type="dxa"/>
            </w:tcMar>
          </w:tcPr>
          <w:p>
            <w:r>
              <w:t>Used by the transfer form to reduce address-entry mistakes.</w:t>
            </w:r>
          </w:p>
        </w:tc>
      </w:tr>
      <w:tr>
        <w:tc>
          <w:tcPr>
            <w:tcW w:type="dxa" w:w="3312"/>
            <w:vAlign w:val="top"/>
            <w:tcMar>
              <w:top w:w="80" w:type="dxa"/>
              <w:start w:w="100" w:type="dxa"/>
              <w:bottom w:w="80" w:type="dxa"/>
              <w:end w:w="100" w:type="dxa"/>
            </w:tcMar>
          </w:tcPr>
          <w:p>
            <w:r>
              <w:t>Howler login/sign-up</w:t>
            </w:r>
          </w:p>
        </w:tc>
        <w:tc>
          <w:tcPr>
            <w:tcW w:type="dxa" w:w="3312"/>
            <w:vAlign w:val="top"/>
            <w:tcMar>
              <w:top w:w="80" w:type="dxa"/>
              <w:start w:w="100" w:type="dxa"/>
              <w:bottom w:w="80" w:type="dxa"/>
              <w:end w:w="100" w:type="dxa"/>
            </w:tcMar>
          </w:tcPr>
          <w:p>
            <w:r>
              <w:t>The recipient must log in or create a Howler account with the transferred-to email.</w:t>
            </w:r>
          </w:p>
        </w:tc>
        <w:tc>
          <w:tcPr>
            <w:tcW w:type="dxa" w:w="3312"/>
            <w:vAlign w:val="top"/>
            <w:tcMar>
              <w:top w:w="80" w:type="dxa"/>
              <w:start w:w="100" w:type="dxa"/>
              <w:bottom w:w="80" w:type="dxa"/>
              <w:end w:w="100" w:type="dxa"/>
            </w:tcMar>
          </w:tcPr>
          <w:p>
            <w:r>
              <w:t>Required to access the ticket in the recipient’s Tickets tab.</w:t>
            </w:r>
          </w:p>
        </w:tc>
      </w:tr>
      <w:tr>
        <w:tc>
          <w:tcPr>
            <w:tcW w:type="dxa" w:w="3312"/>
            <w:vAlign w:val="top"/>
            <w:tcMar>
              <w:top w:w="80" w:type="dxa"/>
              <w:start w:w="100" w:type="dxa"/>
              <w:bottom w:w="80" w:type="dxa"/>
              <w:end w:w="100" w:type="dxa"/>
            </w:tcMar>
          </w:tcPr>
          <w:p>
            <w:r>
              <w:t>Profile / registration data, if required by the event</w:t>
            </w:r>
          </w:p>
        </w:tc>
        <w:tc>
          <w:tcPr>
            <w:tcW w:type="dxa" w:w="3312"/>
            <w:vAlign w:val="top"/>
            <w:tcMar>
              <w:top w:w="80" w:type="dxa"/>
              <w:start w:w="100" w:type="dxa"/>
              <w:bottom w:w="80" w:type="dxa"/>
              <w:end w:w="100" w:type="dxa"/>
            </w:tcMar>
          </w:tcPr>
          <w:p>
            <w:r>
              <w:t>Potentially name, surname and event-specific registration/profile questions.</w:t>
            </w:r>
          </w:p>
        </w:tc>
        <w:tc>
          <w:tcPr>
            <w:tcW w:type="dxa" w:w="3312"/>
            <w:vAlign w:val="top"/>
            <w:tcMar>
              <w:top w:w="80" w:type="dxa"/>
              <w:start w:w="100" w:type="dxa"/>
              <w:bottom w:w="80" w:type="dxa"/>
              <w:end w:w="100" w:type="dxa"/>
            </w:tcMar>
          </w:tcPr>
          <w:p>
            <w:r>
              <w:t>Some events require ticket registration or profile completion before download/use.</w:t>
            </w:r>
          </w:p>
        </w:tc>
      </w:tr>
    </w:tbl>
    <w:p>
      <w:pPr>
        <w:pStyle w:val="Heading1"/>
      </w:pPr>
      <w:r>
        <w:t>3. Exact sender flow</w:t>
      </w:r>
    </w:p>
    <w:p>
      <w:pPr>
        <w:spacing w:after="80"/>
      </w:pPr>
      <w:r>
        <w:rPr>
          <w:b/>
        </w:rPr>
        <w:t xml:space="preserve">1. Log in — </w:t>
      </w:r>
      <w:r>
        <w:t>Go to Howler and log in using the email address under which the ticket is listed.</w:t>
      </w:r>
    </w:p>
    <w:p>
      <w:pPr>
        <w:spacing w:after="80"/>
      </w:pPr>
      <w:r>
        <w:rPr>
          <w:b/>
        </w:rPr>
        <w:t xml:space="preserve">2. Open Tickets — </w:t>
      </w:r>
      <w:r>
        <w:t>Open the Tickets tab at the top of the Howler account.</w:t>
      </w:r>
    </w:p>
    <w:p>
      <w:pPr>
        <w:spacing w:after="80"/>
      </w:pPr>
      <w:r>
        <w:rPr>
          <w:b/>
        </w:rPr>
        <w:t xml:space="preserve">3. Open ticket actions — </w:t>
      </w:r>
      <w:r>
        <w:t>Find the ticket and click the three-dot menu on the right-hand side.</w:t>
      </w:r>
    </w:p>
    <w:p>
      <w:pPr>
        <w:spacing w:after="80"/>
      </w:pPr>
      <w:r>
        <w:rPr>
          <w:b/>
        </w:rPr>
        <w:t xml:space="preserve">4. Choose Transfer — </w:t>
      </w:r>
      <w:r>
        <w:t>Select the Transfer option.</w:t>
      </w:r>
    </w:p>
    <w:p>
      <w:pPr>
        <w:spacing w:after="80"/>
      </w:pPr>
      <w:r>
        <w:rPr>
          <w:b/>
        </w:rPr>
        <w:t xml:space="preserve">5. Enter recipient details — </w:t>
      </w:r>
      <w:r>
        <w:t>Enter Recipient First Name, Recipient Last Name, Recipient Email Address, and Confirm Email Address.</w:t>
      </w:r>
    </w:p>
    <w:p>
      <w:pPr>
        <w:spacing w:after="80"/>
      </w:pPr>
      <w:r>
        <w:rPr>
          <w:b/>
        </w:rPr>
        <w:t xml:space="preserve">6. Check eligibility — </w:t>
      </w:r>
      <w:r>
        <w:t>Make sure the recipient email does not already have a ticket assigned where Howler’s unique-email rule applies, and check any event-specific cut-off/fee.</w:t>
      </w:r>
    </w:p>
    <w:p>
      <w:pPr>
        <w:spacing w:after="80"/>
      </w:pPr>
      <w:r>
        <w:rPr>
          <w:b/>
        </w:rPr>
        <w:t xml:space="preserve">7. Confirm the transfer — </w:t>
      </w:r>
      <w:r>
        <w:t>Submit the transfer. If an event-specific transfer fee is configured, complete the required fee/payment step shown by that event.</w:t>
      </w:r>
    </w:p>
    <w:p>
      <w:pPr>
        <w:spacing w:after="80"/>
      </w:pPr>
      <w:r>
        <w:rPr>
          <w:b/>
        </w:rPr>
        <w:t xml:space="preserve">8. System replacement — </w:t>
      </w:r>
      <w:r>
        <w:t>Howler cancels the sender’s existing ticket and issues a new ticket to the recipient email address.</w:t>
      </w:r>
    </w:p>
    <w:p>
      <w:pPr>
        <w:spacing w:after="80"/>
      </w:pPr>
      <w:r>
        <w:rPr>
          <w:b/>
        </w:rPr>
        <w:t xml:space="preserve">9. Confirmation — </w:t>
      </w:r>
      <w:r>
        <w:t>Howler sends a transfer confirmation email to both the original holder and the new holder.</w:t>
      </w:r>
    </w:p>
    <w:p>
      <w:pPr>
        <w:pStyle w:val="Heading1"/>
      </w:pPr>
      <w:r>
        <w:t>4. Exact recipient flow</w:t>
      </w:r>
    </w:p>
    <w:p>
      <w:pPr>
        <w:spacing w:after="80"/>
      </w:pPr>
      <w:r>
        <w:rPr>
          <w:b/>
        </w:rPr>
        <w:t xml:space="preserve">1. Receive confirmation — </w:t>
      </w:r>
      <w:r>
        <w:t>The recipient receives an email confirming the transfer/new ticket.</w:t>
      </w:r>
    </w:p>
    <w:p>
      <w:pPr>
        <w:spacing w:after="80"/>
      </w:pPr>
      <w:r>
        <w:rPr>
          <w:b/>
        </w:rPr>
        <w:t xml:space="preserve">2. Use the same email — </w:t>
      </w:r>
      <w:r>
        <w:t>The recipient logs in or signs up to Howler using the exact email address to which the ticket was transferred.</w:t>
      </w:r>
    </w:p>
    <w:p>
      <w:pPr>
        <w:spacing w:after="80"/>
      </w:pPr>
      <w:r>
        <w:rPr>
          <w:b/>
        </w:rPr>
        <w:t xml:space="preserve">3. Open Tickets — </w:t>
      </w:r>
      <w:r>
        <w:t>The new ticket should appear under the recipient’s Tickets tab.</w:t>
      </w:r>
    </w:p>
    <w:p>
      <w:pPr>
        <w:spacing w:after="80"/>
      </w:pPr>
      <w:r>
        <w:rPr>
          <w:b/>
        </w:rPr>
        <w:t xml:space="preserve">4. Complete registration if prompted — </w:t>
      </w:r>
      <w:r>
        <w:t>If the event requires a completed profile, ticket registration or other event-specific information, the recipient completes those requirements.</w:t>
      </w:r>
    </w:p>
    <w:p>
      <w:pPr>
        <w:spacing w:after="80"/>
      </w:pPr>
      <w:r>
        <w:rPr>
          <w:b/>
        </w:rPr>
        <w:t xml:space="preserve">5. Download/access the ticket — </w:t>
      </w:r>
      <w:r>
        <w:t>The recipient downloads or accesses the ticket from their own Howler profile when downloads are available.</w:t>
      </w:r>
    </w:p>
    <w:p>
      <w:pPr>
        <w:pStyle w:val="Heading1"/>
      </w:pPr>
      <w:r>
        <w:t>5. What happens in the backend</w:t>
      </w:r>
    </w:p>
    <w:p>
      <w:pPr>
        <w:pStyle w:val="ListBullet"/>
        <w:spacing w:after="40"/>
      </w:pPr>
      <w:r>
        <w:t>The old ticket is cancelled/invalidated by Howler.</w:t>
      </w:r>
    </w:p>
    <w:p>
      <w:pPr>
        <w:pStyle w:val="ListBullet"/>
        <w:spacing w:after="40"/>
      </w:pPr>
      <w:r>
        <w:t>A new ticket is issued to the recipient email address.</w:t>
      </w:r>
    </w:p>
    <w:p>
      <w:pPr>
        <w:pStyle w:val="ListBullet"/>
        <w:spacing w:after="40"/>
      </w:pPr>
      <w:r>
        <w:t>The sender loses access to the transferred ticket.</w:t>
      </w:r>
    </w:p>
    <w:p>
      <w:pPr>
        <w:pStyle w:val="ListBullet"/>
        <w:spacing w:after="40"/>
      </w:pPr>
      <w:r>
        <w:t>The recipient becomes the ticket owner in Howler and sees the ticket in their own Tickets tab.</w:t>
      </w:r>
    </w:p>
    <w:p>
      <w:pPr>
        <w:pStyle w:val="ListBullet"/>
        <w:spacing w:after="40"/>
      </w:pPr>
      <w:r>
        <w:t>Both parties receive confirmation of the transfer.</w:t>
      </w:r>
    </w:p>
    <w:p>
      <w:pPr>
        <w:pStyle w:val="Heading1"/>
      </w:pPr>
      <w:r>
        <w:t>6. Failure / exception cases</w:t>
      </w:r>
    </w:p>
    <w:p>
      <w:pPr>
        <w:pStyle w:val="ListBullet"/>
        <w:spacing w:after="40"/>
      </w:pPr>
      <w:r>
        <w:t>Wrong recipient email entered: contact support@howler.co.za for assistance.</w:t>
      </w:r>
    </w:p>
    <w:p>
      <w:pPr>
        <w:pStyle w:val="ListBullet"/>
        <w:spacing w:after="40"/>
      </w:pPr>
      <w:r>
        <w:t>Recipient email already has a ticket assigned: the transfer cannot be completed to that address under Howler’s unique-email rule.</w:t>
      </w:r>
    </w:p>
    <w:p>
      <w:pPr>
        <w:pStyle w:val="ListBullet"/>
        <w:spacing w:after="40"/>
      </w:pPr>
      <w:r>
        <w:t>Ticket cannot be downloaded: the recipient may need to complete their Howler profile or register the ticket; some tickets are released for download only close to the event.</w:t>
      </w:r>
    </w:p>
    <w:p>
      <w:pPr>
        <w:pStyle w:val="ListBullet"/>
        <w:spacing w:after="40"/>
      </w:pPr>
      <w:r>
        <w:t>No Transfer option / event-specific restriction: check the organiser’s event rules. Organisers can impose their own transfer conditions, and some events may disable transfers, charge a fee or close transfers before the event.</w:t>
      </w:r>
    </w:p>
    <w:p>
      <w:pPr>
        <w:pStyle w:val="ListBullet"/>
        <w:spacing w:after="40"/>
      </w:pPr>
      <w:r>
        <w:t>Private sale between sender and recipient: the direct Transfer tool changes ticket ownership but is separate from Howler Resale. Payment handling between the two private parties is not part of the generic transfer form.</w:t>
      </w:r>
    </w:p>
    <w:p>
      <w:r>
        <w:br w:type="page"/>
      </w:r>
    </w:p>
    <w:p>
      <w:pPr>
        <w:pStyle w:val="Heading1"/>
      </w:pPr>
      <w:r>
        <w:t>7. Data-field summary for product / UX replication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7E6E6"/>
          </w:tcPr>
          <w:p>
            <w:r>
              <w:t>Field / state</w:t>
            </w:r>
          </w:p>
        </w:tc>
        <w:tc>
          <w:tcPr>
            <w:tcW w:type="dxa" w:w="2484"/>
            <w:shd w:fill="E7E6E6"/>
          </w:tcPr>
          <w:p>
            <w:r>
              <w:t>Sender supplies?</w:t>
            </w:r>
          </w:p>
        </w:tc>
        <w:tc>
          <w:tcPr>
            <w:tcW w:type="dxa" w:w="2484"/>
            <w:shd w:fill="E7E6E6"/>
          </w:tcPr>
          <w:p>
            <w:r>
              <w:t>Recipient supplies/uses?</w:t>
            </w:r>
          </w:p>
        </w:tc>
        <w:tc>
          <w:tcPr>
            <w:tcW w:type="dxa" w:w="2484"/>
            <w:shd w:fill="E7E6E6"/>
          </w:tcPr>
          <w:p>
            <w:r>
              <w:t>Howler behaviour</w:t>
            </w:r>
          </w:p>
        </w:tc>
      </w:tr>
      <w:tr>
        <w:tc>
          <w:tcPr>
            <w:tcW w:type="dxa" w:w="2484"/>
            <w:tcMar>
              <w:top w:w="80" w:type="dxa"/>
              <w:start w:w="100" w:type="dxa"/>
              <w:bottom w:w="80" w:type="dxa"/>
              <w:end w:w="100" w:type="dxa"/>
            </w:tcMar>
            <w:vAlign w:val="top"/>
          </w:tcPr>
          <w:p>
            <w:r>
              <w:t>Sender account email</w:t>
            </w:r>
          </w:p>
        </w:tc>
        <w:tc>
          <w:tcPr>
            <w:tcW w:type="dxa" w:w="2484"/>
            <w:tcMar>
              <w:top w:w="80" w:type="dxa"/>
              <w:start w:w="100" w:type="dxa"/>
              <w:bottom w:w="80" w:type="dxa"/>
              <w:end w:w="100" w:type="dxa"/>
            </w:tcMar>
            <w:vAlign w:val="top"/>
          </w:tcPr>
          <w:p>
            <w:r>
              <w:t>Yes — via login</w:t>
            </w:r>
          </w:p>
        </w:tc>
        <w:tc>
          <w:tcPr>
            <w:tcW w:type="dxa" w:w="2484"/>
            <w:tcMar>
              <w:top w:w="80" w:type="dxa"/>
              <w:start w:w="100" w:type="dxa"/>
              <w:bottom w:w="80" w:type="dxa"/>
              <w:end w:w="100" w:type="dxa"/>
            </w:tcMar>
            <w:vAlign w:val="top"/>
          </w:tcPr>
          <w:p>
            <w:r>
              <w:t>No</w:t>
            </w:r>
          </w:p>
        </w:tc>
        <w:tc>
          <w:tcPr>
            <w:tcW w:type="dxa" w:w="2484"/>
            <w:tcMar>
              <w:top w:w="80" w:type="dxa"/>
              <w:start w:w="100" w:type="dxa"/>
              <w:bottom w:w="80" w:type="dxa"/>
              <w:end w:w="100" w:type="dxa"/>
            </w:tcMar>
            <w:vAlign w:val="top"/>
          </w:tcPr>
          <w:p>
            <w:r>
              <w:t>Locates sender account/tickets</w:t>
            </w:r>
          </w:p>
        </w:tc>
      </w:tr>
      <w:tr>
        <w:tc>
          <w:tcPr>
            <w:tcW w:type="dxa" w:w="2484"/>
            <w:tcMar>
              <w:top w:w="80" w:type="dxa"/>
              <w:start w:w="100" w:type="dxa"/>
              <w:bottom w:w="80" w:type="dxa"/>
              <w:end w:w="100" w:type="dxa"/>
            </w:tcMar>
            <w:vAlign w:val="top"/>
          </w:tcPr>
          <w:p>
            <w:r>
              <w:t>Ticket ID / selected ticket</w:t>
            </w:r>
          </w:p>
        </w:tc>
        <w:tc>
          <w:tcPr>
            <w:tcW w:type="dxa" w:w="2484"/>
            <w:tcMar>
              <w:top w:w="80" w:type="dxa"/>
              <w:start w:w="100" w:type="dxa"/>
              <w:bottom w:w="80" w:type="dxa"/>
              <w:end w:w="100" w:type="dxa"/>
            </w:tcMar>
            <w:vAlign w:val="top"/>
          </w:tcPr>
          <w:p>
            <w:r>
              <w:t>Yes — by selecting ticket</w:t>
            </w:r>
          </w:p>
        </w:tc>
        <w:tc>
          <w:tcPr>
            <w:tcW w:type="dxa" w:w="2484"/>
            <w:tcMar>
              <w:top w:w="80" w:type="dxa"/>
              <w:start w:w="100" w:type="dxa"/>
              <w:bottom w:w="80" w:type="dxa"/>
              <w:end w:w="100" w:type="dxa"/>
            </w:tcMar>
            <w:vAlign w:val="top"/>
          </w:tcPr>
          <w:p>
            <w:r>
              <w:t>No</w:t>
            </w:r>
          </w:p>
        </w:tc>
        <w:tc>
          <w:tcPr>
            <w:tcW w:type="dxa" w:w="2484"/>
            <w:tcMar>
              <w:top w:w="80" w:type="dxa"/>
              <w:start w:w="100" w:type="dxa"/>
              <w:bottom w:w="80" w:type="dxa"/>
              <w:end w:w="100" w:type="dxa"/>
            </w:tcMar>
            <w:vAlign w:val="top"/>
          </w:tcPr>
          <w:p>
            <w:r>
              <w:t>Determines which ticket is cancelled/reissued</w:t>
            </w:r>
          </w:p>
        </w:tc>
      </w:tr>
      <w:tr>
        <w:tc>
          <w:tcPr>
            <w:tcW w:type="dxa" w:w="2484"/>
            <w:tcMar>
              <w:top w:w="80" w:type="dxa"/>
              <w:start w:w="100" w:type="dxa"/>
              <w:bottom w:w="80" w:type="dxa"/>
              <w:end w:w="100" w:type="dxa"/>
            </w:tcMar>
            <w:vAlign w:val="top"/>
          </w:tcPr>
          <w:p>
            <w:r>
              <w:t>Recipient first name</w:t>
            </w:r>
          </w:p>
        </w:tc>
        <w:tc>
          <w:tcPr>
            <w:tcW w:type="dxa" w:w="2484"/>
            <w:tcMar>
              <w:top w:w="80" w:type="dxa"/>
              <w:start w:w="100" w:type="dxa"/>
              <w:bottom w:w="80" w:type="dxa"/>
              <w:end w:w="100" w:type="dxa"/>
            </w:tcMar>
            <w:vAlign w:val="top"/>
          </w:tcPr>
          <w:p>
            <w:r>
              <w:t>Entered by sender</w:t>
            </w:r>
          </w:p>
        </w:tc>
        <w:tc>
          <w:tcPr>
            <w:tcW w:type="dxa" w:w="2484"/>
            <w:tcMar>
              <w:top w:w="80" w:type="dxa"/>
              <w:start w:w="100" w:type="dxa"/>
              <w:bottom w:w="80" w:type="dxa"/>
              <w:end w:w="100" w:type="dxa"/>
            </w:tcMar>
            <w:vAlign w:val="top"/>
          </w:tcPr>
          <w:p>
            <w:r>
              <w:t>Recipient identity data</w:t>
            </w:r>
          </w:p>
        </w:tc>
        <w:tc>
          <w:tcPr>
            <w:tcW w:type="dxa" w:w="2484"/>
            <w:tcMar>
              <w:top w:w="80" w:type="dxa"/>
              <w:start w:w="100" w:type="dxa"/>
              <w:bottom w:w="80" w:type="dxa"/>
              <w:end w:w="100" w:type="dxa"/>
            </w:tcMar>
            <w:vAlign w:val="top"/>
          </w:tcPr>
          <w:p>
            <w:r>
              <w:t>Stored against transfer/new holder</w:t>
            </w:r>
          </w:p>
        </w:tc>
      </w:tr>
      <w:tr>
        <w:tc>
          <w:tcPr>
            <w:tcW w:type="dxa" w:w="2484"/>
            <w:tcMar>
              <w:top w:w="80" w:type="dxa"/>
              <w:start w:w="100" w:type="dxa"/>
              <w:bottom w:w="80" w:type="dxa"/>
              <w:end w:w="100" w:type="dxa"/>
            </w:tcMar>
            <w:vAlign w:val="top"/>
          </w:tcPr>
          <w:p>
            <w:r>
              <w:t>Recipient last name</w:t>
            </w:r>
          </w:p>
        </w:tc>
        <w:tc>
          <w:tcPr>
            <w:tcW w:type="dxa" w:w="2484"/>
            <w:tcMar>
              <w:top w:w="80" w:type="dxa"/>
              <w:start w:w="100" w:type="dxa"/>
              <w:bottom w:w="80" w:type="dxa"/>
              <w:end w:w="100" w:type="dxa"/>
            </w:tcMar>
            <w:vAlign w:val="top"/>
          </w:tcPr>
          <w:p>
            <w:r>
              <w:t>Entered by sender</w:t>
            </w:r>
          </w:p>
        </w:tc>
        <w:tc>
          <w:tcPr>
            <w:tcW w:type="dxa" w:w="2484"/>
            <w:tcMar>
              <w:top w:w="80" w:type="dxa"/>
              <w:start w:w="100" w:type="dxa"/>
              <w:bottom w:w="80" w:type="dxa"/>
              <w:end w:w="100" w:type="dxa"/>
            </w:tcMar>
            <w:vAlign w:val="top"/>
          </w:tcPr>
          <w:p>
            <w:r>
              <w:t>Recipient identity data</w:t>
            </w:r>
          </w:p>
        </w:tc>
        <w:tc>
          <w:tcPr>
            <w:tcW w:type="dxa" w:w="2484"/>
            <w:tcMar>
              <w:top w:w="80" w:type="dxa"/>
              <w:start w:w="100" w:type="dxa"/>
              <w:bottom w:w="80" w:type="dxa"/>
              <w:end w:w="100" w:type="dxa"/>
            </w:tcMar>
            <w:vAlign w:val="top"/>
          </w:tcPr>
          <w:p>
            <w:r>
              <w:t>Stored against transfer/new holder</w:t>
            </w:r>
          </w:p>
        </w:tc>
      </w:tr>
      <w:tr>
        <w:tc>
          <w:tcPr>
            <w:tcW w:type="dxa" w:w="2484"/>
            <w:tcMar>
              <w:top w:w="80" w:type="dxa"/>
              <w:start w:w="100" w:type="dxa"/>
              <w:bottom w:w="80" w:type="dxa"/>
              <w:end w:w="100" w:type="dxa"/>
            </w:tcMar>
            <w:vAlign w:val="top"/>
          </w:tcPr>
          <w:p>
            <w:r>
              <w:t>Recipient email</w:t>
            </w:r>
          </w:p>
        </w:tc>
        <w:tc>
          <w:tcPr>
            <w:tcW w:type="dxa" w:w="2484"/>
            <w:tcMar>
              <w:top w:w="80" w:type="dxa"/>
              <w:start w:w="100" w:type="dxa"/>
              <w:bottom w:w="80" w:type="dxa"/>
              <w:end w:w="100" w:type="dxa"/>
            </w:tcMar>
            <w:vAlign w:val="top"/>
          </w:tcPr>
          <w:p>
            <w:r>
              <w:t>Entered by sender</w:t>
            </w:r>
          </w:p>
        </w:tc>
        <w:tc>
          <w:tcPr>
            <w:tcW w:type="dxa" w:w="2484"/>
            <w:tcMar>
              <w:top w:w="80" w:type="dxa"/>
              <w:start w:w="100" w:type="dxa"/>
              <w:bottom w:w="80" w:type="dxa"/>
              <w:end w:w="100" w:type="dxa"/>
            </w:tcMar>
            <w:vAlign w:val="top"/>
          </w:tcPr>
          <w:p>
            <w:r>
              <w:t>Must be controlled by recipient</w:t>
            </w:r>
          </w:p>
        </w:tc>
        <w:tc>
          <w:tcPr>
            <w:tcW w:type="dxa" w:w="2484"/>
            <w:tcMar>
              <w:top w:w="80" w:type="dxa"/>
              <w:start w:w="100" w:type="dxa"/>
              <w:bottom w:w="80" w:type="dxa"/>
              <w:end w:w="100" w:type="dxa"/>
            </w:tcMar>
            <w:vAlign w:val="top"/>
          </w:tcPr>
          <w:p>
            <w:r>
              <w:t>Destination/account identifier for new ticket</w:t>
            </w:r>
          </w:p>
        </w:tc>
      </w:tr>
      <w:tr>
        <w:tc>
          <w:tcPr>
            <w:tcW w:type="dxa" w:w="2484"/>
            <w:tcMar>
              <w:top w:w="80" w:type="dxa"/>
              <w:start w:w="100" w:type="dxa"/>
              <w:bottom w:w="80" w:type="dxa"/>
              <w:end w:w="100" w:type="dxa"/>
            </w:tcMar>
            <w:vAlign w:val="top"/>
          </w:tcPr>
          <w:p>
            <w:r>
              <w:t>Confirm recipient email</w:t>
            </w:r>
          </w:p>
        </w:tc>
        <w:tc>
          <w:tcPr>
            <w:tcW w:type="dxa" w:w="2484"/>
            <w:tcMar>
              <w:top w:w="80" w:type="dxa"/>
              <w:start w:w="100" w:type="dxa"/>
              <w:bottom w:w="80" w:type="dxa"/>
              <w:end w:w="100" w:type="dxa"/>
            </w:tcMar>
            <w:vAlign w:val="top"/>
          </w:tcPr>
          <w:p>
            <w:r>
              <w:t>Entered by sender</w:t>
            </w:r>
          </w:p>
        </w:tc>
        <w:tc>
          <w:tcPr>
            <w:tcW w:type="dxa" w:w="2484"/>
            <w:tcMar>
              <w:top w:w="80" w:type="dxa"/>
              <w:start w:w="100" w:type="dxa"/>
              <w:bottom w:w="80" w:type="dxa"/>
              <w:end w:w="100" w:type="dxa"/>
            </w:tcMar>
            <w:vAlign w:val="top"/>
          </w:tcPr>
          <w:p>
            <w:r>
              <w:t>No separate action</w:t>
            </w:r>
          </w:p>
        </w:tc>
        <w:tc>
          <w:tcPr>
            <w:tcW w:type="dxa" w:w="2484"/>
            <w:tcMar>
              <w:top w:w="80" w:type="dxa"/>
              <w:start w:w="100" w:type="dxa"/>
              <w:bottom w:w="80" w:type="dxa"/>
              <w:end w:w="100" w:type="dxa"/>
            </w:tcMar>
            <w:vAlign w:val="top"/>
          </w:tcPr>
          <w:p>
            <w:r>
              <w:t>Reduces email-entry error</w:t>
            </w:r>
          </w:p>
        </w:tc>
      </w:tr>
      <w:tr>
        <w:tc>
          <w:tcPr>
            <w:tcW w:type="dxa" w:w="2484"/>
            <w:tcMar>
              <w:top w:w="80" w:type="dxa"/>
              <w:start w:w="100" w:type="dxa"/>
              <w:bottom w:w="80" w:type="dxa"/>
              <w:end w:w="100" w:type="dxa"/>
            </w:tcMar>
            <w:vAlign w:val="top"/>
          </w:tcPr>
          <w:p>
            <w:r>
              <w:t>Recipient Howler account</w:t>
            </w:r>
          </w:p>
        </w:tc>
        <w:tc>
          <w:tcPr>
            <w:tcW w:type="dxa" w:w="2484"/>
            <w:tcMar>
              <w:top w:w="80" w:type="dxa"/>
              <w:start w:w="100" w:type="dxa"/>
              <w:bottom w:w="80" w:type="dxa"/>
              <w:end w:w="100" w:type="dxa"/>
            </w:tcMar>
            <w:vAlign w:val="top"/>
          </w:tcPr>
          <w:p>
            <w:r>
              <w:t>No</w:t>
            </w:r>
          </w:p>
        </w:tc>
        <w:tc>
          <w:tcPr>
            <w:tcW w:type="dxa" w:w="2484"/>
            <w:tcMar>
              <w:top w:w="80" w:type="dxa"/>
              <w:start w:w="100" w:type="dxa"/>
              <w:bottom w:w="80" w:type="dxa"/>
              <w:end w:w="100" w:type="dxa"/>
            </w:tcMar>
            <w:vAlign w:val="top"/>
          </w:tcPr>
          <w:p>
            <w:r>
              <w:t>Login/sign-up using transferred-to email</w:t>
            </w:r>
          </w:p>
        </w:tc>
        <w:tc>
          <w:tcPr>
            <w:tcW w:type="dxa" w:w="2484"/>
            <w:tcMar>
              <w:top w:w="80" w:type="dxa"/>
              <w:start w:w="100" w:type="dxa"/>
              <w:bottom w:w="80" w:type="dxa"/>
              <w:end w:w="100" w:type="dxa"/>
            </w:tcMar>
            <w:vAlign w:val="top"/>
          </w:tcPr>
          <w:p>
            <w:r>
              <w:t>Required to access ticket</w:t>
            </w:r>
          </w:p>
        </w:tc>
      </w:tr>
      <w:tr>
        <w:tc>
          <w:tcPr>
            <w:tcW w:type="dxa" w:w="2484"/>
            <w:tcMar>
              <w:top w:w="80" w:type="dxa"/>
              <w:start w:w="100" w:type="dxa"/>
              <w:bottom w:w="80" w:type="dxa"/>
              <w:end w:w="100" w:type="dxa"/>
            </w:tcMar>
            <w:vAlign w:val="top"/>
          </w:tcPr>
          <w:p>
            <w:r>
              <w:t>Event registration/profile fields</w:t>
            </w:r>
          </w:p>
        </w:tc>
        <w:tc>
          <w:tcPr>
            <w:tcW w:type="dxa" w:w="2484"/>
            <w:tcMar>
              <w:top w:w="80" w:type="dxa"/>
              <w:start w:w="100" w:type="dxa"/>
              <w:bottom w:w="80" w:type="dxa"/>
              <w:end w:w="100" w:type="dxa"/>
            </w:tcMar>
            <w:vAlign w:val="top"/>
          </w:tcPr>
          <w:p>
            <w:r>
              <w:t>Sometimes</w:t>
            </w:r>
          </w:p>
        </w:tc>
        <w:tc>
          <w:tcPr>
            <w:tcW w:type="dxa" w:w="2484"/>
            <w:tcMar>
              <w:top w:w="80" w:type="dxa"/>
              <w:start w:w="100" w:type="dxa"/>
              <w:bottom w:w="80" w:type="dxa"/>
              <w:end w:w="100" w:type="dxa"/>
            </w:tcMar>
            <w:vAlign w:val="top"/>
          </w:tcPr>
          <w:p>
            <w:r>
              <w:t>Sometimes</w:t>
            </w:r>
          </w:p>
        </w:tc>
        <w:tc>
          <w:tcPr>
            <w:tcW w:type="dxa" w:w="2484"/>
            <w:tcMar>
              <w:top w:w="80" w:type="dxa"/>
              <w:start w:w="100" w:type="dxa"/>
              <w:bottom w:w="80" w:type="dxa"/>
              <w:end w:w="100" w:type="dxa"/>
            </w:tcMar>
            <w:vAlign w:val="top"/>
          </w:tcPr>
          <w:p>
            <w:r>
              <w:t>Depends on event configuration</w:t>
            </w:r>
          </w:p>
        </w:tc>
      </w:tr>
      <w:tr>
        <w:tc>
          <w:tcPr>
            <w:tcW w:type="dxa" w:w="2484"/>
            <w:tcMar>
              <w:top w:w="80" w:type="dxa"/>
              <w:start w:w="100" w:type="dxa"/>
              <w:bottom w:w="80" w:type="dxa"/>
              <w:end w:w="100" w:type="dxa"/>
            </w:tcMar>
            <w:vAlign w:val="top"/>
          </w:tcPr>
          <w:p>
            <w:r>
              <w:t>Transfer fee</w:t>
            </w:r>
          </w:p>
        </w:tc>
        <w:tc>
          <w:tcPr>
            <w:tcW w:type="dxa" w:w="2484"/>
            <w:tcMar>
              <w:top w:w="80" w:type="dxa"/>
              <w:start w:w="100" w:type="dxa"/>
              <w:bottom w:w="80" w:type="dxa"/>
              <w:end w:w="100" w:type="dxa"/>
            </w:tcMar>
            <w:vAlign w:val="top"/>
          </w:tcPr>
          <w:p>
            <w:r>
              <w:t>Only if event requires it</w:t>
            </w:r>
          </w:p>
        </w:tc>
        <w:tc>
          <w:tcPr>
            <w:tcW w:type="dxa" w:w="2484"/>
            <w:tcMar>
              <w:top w:w="80" w:type="dxa"/>
              <w:start w:w="100" w:type="dxa"/>
              <w:bottom w:w="80" w:type="dxa"/>
              <w:end w:w="100" w:type="dxa"/>
            </w:tcMar>
            <w:vAlign w:val="top"/>
          </w:tcPr>
          <w:p>
            <w:r>
              <w:t>Usually sender-facing in cited event examples</w:t>
            </w:r>
          </w:p>
        </w:tc>
        <w:tc>
          <w:tcPr>
            <w:tcW w:type="dxa" w:w="2484"/>
            <w:tcMar>
              <w:top w:w="80" w:type="dxa"/>
              <w:start w:w="100" w:type="dxa"/>
              <w:bottom w:w="80" w:type="dxa"/>
              <w:end w:w="100" w:type="dxa"/>
            </w:tcMar>
            <w:vAlign w:val="top"/>
          </w:tcPr>
          <w:p>
            <w:r>
              <w:t>Not a universal Howler transfer requirement</w:t>
            </w:r>
          </w:p>
        </w:tc>
      </w:tr>
    </w:tbl>
    <w:tbl>
      <w:tblPr>
        <w:tblW w:type="auto" w:w="0"/>
        <w:jc w:val="center"/>
        <w:tblLayout w:type="autofit"/>
        <w:tblLook w:firstColumn="1" w:firstRow="1" w:lastColumn="0" w:lastRow="0" w:noHBand="0" w:noVBand="1" w:val="04A0"/>
      </w:tblPr>
      <w:tblGrid>
        <w:gridCol w:w="9936"/>
      </w:tblGrid>
      <w:tr>
        <w:tc>
          <w:tcPr>
            <w:tcW w:type="dxa" w:w="9936"/>
            <w:shd w:fill="F2F2F2"/>
            <w:tcMar>
              <w:top w:w="120" w:type="dxa"/>
              <w:start w:w="140" w:type="dxa"/>
              <w:bottom w:w="120" w:type="dxa"/>
              <w:end w:w="140" w:type="dxa"/>
            </w:tcMar>
          </w:tcPr>
          <w:p>
            <w:r>
              <w:rPr>
                <w:b/>
              </w:rPr>
              <w:t xml:space="preserve">Key product insight: </w:t>
            </w:r>
            <w:r>
              <w:t>Howler’s ownership-transfer mechanism is email-identity based: the new ticket is issued to a specific recipient email, the previous ticket is cancelled, and the recipient must access it through the corresponding Howler account. The transfer form itself does not ask the receiver to approve the transfer before issuance in the documented flow.</w:t>
            </w:r>
          </w:p>
        </w:tc>
      </w:tr>
    </w:tbl>
    <w:p>
      <w:pPr>
        <w:spacing w:after="0"/>
      </w:pPr>
    </w:p>
    <w:p>
      <w:pPr>
        <w:pStyle w:val="Heading1"/>
      </w:pPr>
      <w:r>
        <w:t>Official sources used</w:t>
      </w:r>
    </w:p>
    <w:p>
      <w:pPr>
        <w:spacing w:after="120"/>
      </w:pPr>
      <w:r>
        <w:rPr>
          <w:b/>
        </w:rPr>
        <w:t>Howler Help &amp; Support — Ticket Actions</w:t>
      </w:r>
      <w:r>
        <w:t xml:space="preserve"> — primary process source; includes current transfer steps and recipient form screenshot</w:t>
      </w:r>
      <w:r>
        <w:br/>
      </w:r>
      <w:hyperlink r:id="rId9">
        <w:r>
          <w:rPr>
            <w:color w:val="0563C1"/>
            <w:u w:val="single"/>
          </w:rPr>
          <w:t>https://help.howler.co.za/l/en/article/3n0t1k2h3m-managing-tickets</w:t>
        </w:r>
      </w:hyperlink>
    </w:p>
    <w:p>
      <w:pPr>
        <w:spacing w:after="120"/>
      </w:pPr>
      <w:r>
        <w:rPr>
          <w:b/>
        </w:rPr>
        <w:t>Howler Help &amp; Support — Tickets Not Received</w:t>
      </w:r>
      <w:r>
        <w:t xml:space="preserve"> — confirms account/ticket email relationship and transfer to another email</w:t>
      </w:r>
      <w:r>
        <w:br/>
      </w:r>
      <w:hyperlink r:id="rId10">
        <w:r>
          <w:rPr>
            <w:color w:val="0563C1"/>
            <w:u w:val="single"/>
          </w:rPr>
          <w:t>https://help.howler.co.za/l/en/article/arr2mx3xhb-tickets-not-received-version-2</w:t>
        </w:r>
      </w:hyperlink>
    </w:p>
    <w:p>
      <w:pPr>
        <w:spacing w:after="120"/>
      </w:pPr>
      <w:r>
        <w:rPr>
          <w:b/>
        </w:rPr>
        <w:t>Howler Help &amp; Support — Unique Registration</w:t>
      </w:r>
      <w:r>
        <w:t xml:space="preserve"> — explains event-level unique assignment / registration</w:t>
      </w:r>
      <w:r>
        <w:br/>
      </w:r>
      <w:hyperlink r:id="rId11">
        <w:r>
          <w:rPr>
            <w:color w:val="0563C1"/>
            <w:u w:val="single"/>
          </w:rPr>
          <w:t>https://help.howler.co.za/l/en/article/6jqpzdthlk-howler-backend-active-admin-unique-registration</w:t>
        </w:r>
      </w:hyperlink>
    </w:p>
    <w:p>
      <w:pPr>
        <w:spacing w:after="120"/>
      </w:pPr>
      <w:r>
        <w:rPr>
          <w:b/>
        </w:rPr>
        <w:t>Howler Help &amp; Support — What is Resale?</w:t>
      </w:r>
      <w:r>
        <w:t xml:space="preserve"> — separate resale flow and payment facilitation</w:t>
      </w:r>
      <w:r>
        <w:br/>
      </w:r>
      <w:hyperlink r:id="rId12">
        <w:r>
          <w:rPr>
            <w:color w:val="0563C1"/>
            <w:u w:val="single"/>
          </w:rPr>
          <w:t>https://help.howler.co.za/l/en/article/kowcj0a5u5-what-is-resale</w:t>
        </w:r>
      </w:hyperlink>
    </w:p>
    <w:p>
      <w:pPr>
        <w:spacing w:after="120"/>
      </w:pPr>
      <w:r>
        <w:rPr>
          <w:b/>
        </w:rPr>
        <w:t>Howler — Terms &amp; Conditions</w:t>
      </w:r>
      <w:r>
        <w:t xml:space="preserve"> — general legal framework and event organiser role</w:t>
      </w:r>
      <w:r>
        <w:br/>
      </w:r>
      <w:hyperlink r:id="rId13">
        <w:r>
          <w:rPr>
            <w:color w:val="0563C1"/>
            <w:u w:val="single"/>
          </w:rPr>
          <w:t>https://www.howlerapp.com/terms_and_conditions</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howler.co.za/l/en/article/3n0t1k2h3m-managing-tickets" TargetMode="External"/><Relationship Id="rId10" Type="http://schemas.openxmlformats.org/officeDocument/2006/relationships/hyperlink" Target="https://help.howler.co.za/l/en/article/arr2mx3xhb-tickets-not-received-version-2" TargetMode="External"/><Relationship Id="rId11" Type="http://schemas.openxmlformats.org/officeDocument/2006/relationships/hyperlink" Target="https://help.howler.co.za/l/en/article/6jqpzdthlk-howler-backend-active-admin-unique-registration" TargetMode="External"/><Relationship Id="rId12" Type="http://schemas.openxmlformats.org/officeDocument/2006/relationships/hyperlink" Target="https://help.howler.co.za/l/en/article/kowcj0a5u5-what-is-resale" TargetMode="External"/><Relationship Id="rId13" Type="http://schemas.openxmlformats.org/officeDocument/2006/relationships/hyperlink" Target="https://www.howlerapp.com/terms_and_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