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br/>
        <w:br/>
        <w:br/>
        <w:br/>
        <w:t xml:space="preserve"/>
      </w:r>
    </w:p>
    <w:p>
      <w:pPr>
        <w:spacing w:after="200"/>
        <w:jc w:val="center"/>
      </w:pPr>
      <w:r>
        <w:rPr>
          <w:rFonts w:ascii="Segoe UI Emoji" w:cs="Segoe UI Emoji" w:eastAsia="Segoe UI Emoji" w:hAnsi="Segoe UI Emoji"/>
          <w:sz w:val="96"/>
          <w:szCs w:val="96"/>
        </w:rPr>
        <w:t xml:space="preserve">🌿</w:t>
      </w:r>
    </w:p>
    <w:p>
      <w:pPr>
        <w:spacing w:after="120"/>
        <w:jc w:val="center"/>
      </w:pPr>
      <w:r>
        <w:rPr>
          <w:rFonts w:ascii="Calibri" w:cs="Calibri" w:eastAsia="Calibri" w:hAnsi="Calibri"/>
          <w:b/>
          <w:bCs/>
          <w:color w:val="111827"/>
          <w:sz w:val="64"/>
          <w:szCs w:val="64"/>
        </w:rPr>
        <w:t xml:space="preserve">CampusCarbon Dashboard</w:t>
      </w:r>
    </w:p>
    <w:p>
      <w:pPr>
        <w:spacing w:after="200"/>
        <w:jc w:val="center"/>
      </w:pPr>
      <w:r>
        <w:rPr>
          <w:rFonts w:ascii="Calibri" w:cs="Calibri" w:eastAsia="Calibri" w:hAnsi="Calibri"/>
          <w:color w:val="6B7280"/>
          <w:sz w:val="32"/>
          <w:szCs w:val="32"/>
        </w:rPr>
        <w:t xml:space="preserve">Complete Implementation Plan</w:t>
      </w:r>
    </w:p>
    <w:p>
      <w:pPr>
        <w:spacing w:after="600"/>
        <w:jc w:val="center"/>
      </w:pPr>
      <w:r>
        <w:rPr>
          <w:rFonts w:ascii="Calibri" w:cs="Calibri" w:eastAsia="Calibri" w:hAnsi="Calibri"/>
          <w:color w:val="166534"/>
          <w:sz w:val="22"/>
          <w:szCs w:val="22"/>
        </w:rPr>
        <w:t xml:space="preserve">Pages · Visualizations · Data Flow · Interactions · Tech Stack</w:t>
      </w: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2200"/>
        <w:gridCol w:w="4040"/>
      </w:tblGrid>
      <w:t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120"/>
            </w:pPr>
            <w:r>
              <w:rPr>
                <w:rFonts w:ascii="Calibri" w:cs="Calibri" w:eastAsia="Calibri" w:hAnsi="Calibri"/>
                <w:b/>
                <w:bCs/>
                <w:color w:val="374151"/>
                <w:sz w:val="20"/>
                <w:szCs w:val="20"/>
              </w:rPr>
              <w:t xml:space="preserve">Project</w:t>
            </w:r>
          </w:p>
        </w:tc>
        <w:tc>
          <w:tcPr>
            <w:tcW w:type="dxa" w:w="40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120"/>
            </w:pPr>
            <w:r>
              <w:rPr>
                <w:rFonts w:ascii="Calibri" w:cs="Calibri" w:eastAsia="Calibri" w:hAnsi="Calibri"/>
                <w:sz w:val="20"/>
                <w:szCs w:val="20"/>
              </w:rPr>
              <w:t xml:space="preserve">College Campus GHG Footprint Dashboard</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120"/>
            </w:pPr>
            <w:r>
              <w:rPr>
                <w:rFonts w:ascii="Calibri" w:cs="Calibri" w:eastAsia="Calibri" w:hAnsi="Calibri"/>
                <w:b/>
                <w:bCs/>
                <w:color w:val="374151"/>
                <w:sz w:val="20"/>
                <w:szCs w:val="20"/>
              </w:rPr>
              <w:t xml:space="preserve">Version</w:t>
            </w:r>
          </w:p>
        </w:tc>
        <w:tc>
          <w:tcPr>
            <w:tcW w:type="dxa" w:w="40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120"/>
            </w:pPr>
            <w:r>
              <w:rPr>
                <w:rFonts w:ascii="Calibri" w:cs="Calibri" w:eastAsia="Calibri" w:hAnsi="Calibri"/>
                <w:sz w:val="20"/>
                <w:szCs w:val="20"/>
              </w:rPr>
              <w:t xml:space="preserve">v1.0 · Full Specification</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120"/>
            </w:pPr>
            <w:r>
              <w:rPr>
                <w:rFonts w:ascii="Calibri" w:cs="Calibri" w:eastAsia="Calibri" w:hAnsi="Calibri"/>
                <w:b/>
                <w:bCs/>
                <w:color w:val="374151"/>
                <w:sz w:val="20"/>
                <w:szCs w:val="20"/>
              </w:rPr>
              <w:t xml:space="preserve">Scope</w:t>
            </w:r>
          </w:p>
        </w:tc>
        <w:tc>
          <w:tcPr>
            <w:tcW w:type="dxa" w:w="40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120"/>
            </w:pPr>
            <w:r>
              <w:rPr>
                <w:rFonts w:ascii="Calibri" w:cs="Calibri" w:eastAsia="Calibri" w:hAnsi="Calibri"/>
                <w:sz w:val="20"/>
                <w:szCs w:val="20"/>
              </w:rPr>
              <w:t xml:space="preserve">Energy · Transport · Waste · Scenarios</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120"/>
            </w:pPr>
            <w:r>
              <w:rPr>
                <w:rFonts w:ascii="Calibri" w:cs="Calibri" w:eastAsia="Calibri" w:hAnsi="Calibri"/>
                <w:b/>
                <w:bCs/>
                <w:color w:val="374151"/>
                <w:sz w:val="20"/>
                <w:szCs w:val="20"/>
              </w:rPr>
              <w:t xml:space="preserve">Framework</w:t>
            </w:r>
          </w:p>
        </w:tc>
        <w:tc>
          <w:tcPr>
            <w:tcW w:type="dxa" w:w="40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120"/>
            </w:pPr>
            <w:r>
              <w:rPr>
                <w:rFonts w:ascii="Calibri" w:cs="Calibri" w:eastAsia="Calibri" w:hAnsi="Calibri"/>
                <w:sz w:val="20"/>
                <w:szCs w:val="20"/>
              </w:rPr>
              <w:t xml:space="preserve">React + Recharts + Tailwind</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120"/>
            </w:pPr>
            <w:r>
              <w:rPr>
                <w:rFonts w:ascii="Calibri" w:cs="Calibri" w:eastAsia="Calibri" w:hAnsi="Calibri"/>
                <w:b/>
                <w:bCs/>
                <w:color w:val="374151"/>
                <w:sz w:val="20"/>
                <w:szCs w:val="20"/>
              </w:rPr>
              <w:t xml:space="preserve">Status</w:t>
            </w:r>
          </w:p>
        </w:tc>
        <w:tc>
          <w:tcPr>
            <w:tcW w:type="dxa" w:w="40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120"/>
            </w:pPr>
            <w:r>
              <w:rPr>
                <w:rFonts w:ascii="Calibri" w:cs="Calibri" w:eastAsia="Calibri" w:hAnsi="Calibri"/>
                <w:sz w:val="20"/>
                <w:szCs w:val="20"/>
              </w:rPr>
              <w:t xml:space="preserve">Ready for Development</w:t>
            </w:r>
          </w:p>
        </w:tc>
      </w:tr>
    </w:tbl>
    <w:p>
      <w:pPr>
        <w:spacing w:after="0"/>
      </w:pPr>
      <w:r>
        <w:br w:type="page"/>
      </w:r>
    </w:p>
    <w:p>
      <w:pPr>
        <w:pStyle w:val="Heading1"/>
        <w:pBdr>
          <w:bottom w:val="single" w:color="16A34A" w:sz="6" w:space="4"/>
        </w:pBdr>
        <w:spacing w:before="480" w:after="200"/>
      </w:pPr>
      <w:r>
        <w:rPr>
          <w:rFonts w:ascii="Calibri" w:cs="Calibri" w:eastAsia="Calibri" w:hAnsi="Calibri"/>
          <w:b/>
          <w:bCs/>
          <w:color w:val="111827"/>
          <w:sz w:val="40"/>
          <w:szCs w:val="40"/>
        </w:rPr>
        <w:t xml:space="preserve">1. Project Overview</w:t>
      </w:r>
    </w:p>
    <w:p>
      <w:pPr>
        <w:spacing w:after="120"/>
      </w:pPr>
      <w:r>
        <w:rPr>
          <w:rFonts w:ascii="Calibri" w:cs="Calibri" w:eastAsia="Calibri" w:hAnsi="Calibri"/>
          <w:sz w:val="22"/>
          <w:szCs w:val="22"/>
        </w:rPr>
        <w:t xml:space="preserve">The CampusCarbon Dashboard is a web-based analytics platform that computes and visualizes a college campus total greenhouse-gas (GHG) footprint in CO₂e. It converts raw activity data (kWh, litres, km, kg waste) into standardized CO₂ equivalent values and presents them through an interactive, multi-page dashboard for stakeholders, sustainability officers, and facilities teams.</w:t>
      </w:r>
    </w:p>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1.1  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6A34A" w:sz="4"/>
              <w:left w:val="single" w:color="16A34A" w:sz="4"/>
              <w:bottom w:val="single" w:color="16A34A" w:sz="4"/>
              <w:right w:val="single" w:color="16A34A" w:sz="4"/>
            </w:tcBorders>
            <w:shd w:fill="16A34A" w:val="clear"/>
            <w:tcMar>
              <w:top w:type="dxa" w:w="80"/>
              <w:left w:type="dxa" w:w="120"/>
              <w:bottom w:type="dxa" w:w="80"/>
              <w:right w:type="dxa" w:w="120"/>
            </w:tcMar>
          </w:tcPr>
          <w:p>
            <w:pPr>
              <w:spacing w:after="0"/>
              <w:jc w:val="center"/>
            </w:pPr>
            <w:r>
              <w:rPr>
                <w:rFonts w:ascii="Calibri" w:cs="Calibri" w:eastAsia="Calibri" w:hAnsi="Calibri"/>
                <w:b/>
                <w:bCs/>
                <w:color w:val="FFFFFF"/>
                <w:sz w:val="18"/>
                <w:szCs w:val="18"/>
              </w:rPr>
              <w:t xml:space="preserve">EF</w:t>
            </w:r>
          </w:p>
        </w:tc>
        <w:tc>
          <w:tcPr>
            <w:tcW w:type="dxa" w:w="8960"/>
            <w:tcBorders>
              <w:top w:val="single" w:color="16A34A" w:sz="4"/>
              <w:left w:val="single" w:color="16A34A" w:sz="4"/>
              <w:bottom w:val="single" w:color="16A34A" w:sz="4"/>
              <w:right w:val="single" w:color="16A34A" w:sz="4"/>
            </w:tcBorders>
            <w:shd w:fill="DCFCE7" w:val="clear"/>
            <w:tcMar>
              <w:top w:type="dxa" w:w="80"/>
              <w:left w:type="dxa" w:w="160"/>
              <w:bottom w:type="dxa" w:w="80"/>
              <w:right w:type="dxa" w:w="120"/>
            </w:tcMar>
          </w:tcPr>
          <w:p>
            <w:pPr>
              <w:spacing w:after="0"/>
            </w:pPr>
            <w:r>
              <w:rPr>
                <w:rFonts w:ascii="Calibri" w:cs="Calibri" w:eastAsia="Calibri" w:hAnsi="Calibri"/>
                <w:color w:val="374151"/>
                <w:sz w:val="22"/>
                <w:szCs w:val="22"/>
              </w:rPr>
              <w:t xml:space="preserve">Emissions (kg CO₂e) = Activity Data × Emission Factor</w:t>
            </w:r>
          </w:p>
        </w:tc>
      </w:tr>
    </w:tbl>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1.2  Emission Scope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c>
          <w:tcPr>
            <w:tcW w:type="dxa" w:w="16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Scope</w:t>
            </w:r>
          </w:p>
        </w:tc>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53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Campus Sources</w:t>
            </w:r>
          </w:p>
        </w:tc>
      </w:tr>
      <w:tr>
        <w:tc>
          <w:tcPr>
            <w:tcW w:type="dxa" w:w="16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pPr>
              <w:spacing w:after="0"/>
            </w:pPr>
            <w:r>
              <w:rPr>
                <w:rFonts w:ascii="Calibri" w:cs="Calibri" w:eastAsia="Calibri" w:hAnsi="Calibri"/>
                <w:color w:val="DC2626"/>
                <w:sz w:val="22"/>
                <w:szCs w:val="22"/>
              </w:rPr>
              <w:t xml:space="preserve">Scope 1</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Direct combustion</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Diesel generators, campus vehicles, LPG canteen, refrigerant leaks</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Scope 2</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Purchased electricity</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Grid electricity for all buildings (kWh × EF)</w:t>
            </w:r>
          </w:p>
        </w:tc>
      </w:tr>
      <w:tr>
        <w:tc>
          <w:tcPr>
            <w:tcW w:type="dxa" w:w="1600"/>
            <w:tcBorders>
              <w:top w:val="single" w:color="E5E7EB" w:sz="4"/>
              <w:left w:val="single" w:color="E5E7EB" w:sz="4"/>
              <w:bottom w:val="single" w:color="E5E7EB" w:sz="4"/>
              <w:right w:val="single" w:color="E5E7EB" w:sz="4"/>
            </w:tcBorders>
            <w:shd w:fill="F5F3FF" w:val="clear"/>
            <w:tcMar>
              <w:top w:type="dxa" w:w="80"/>
              <w:left w:type="dxa" w:w="120"/>
              <w:bottom w:type="dxa" w:w="80"/>
              <w:right w:type="dxa" w:w="120"/>
            </w:tcMar>
          </w:tcPr>
          <w:p>
            <w:pPr>
              <w:spacing w:after="0"/>
            </w:pPr>
            <w:r>
              <w:rPr>
                <w:rFonts w:ascii="Calibri" w:cs="Calibri" w:eastAsia="Calibri" w:hAnsi="Calibri"/>
                <w:color w:val="7C3AED"/>
                <w:sz w:val="22"/>
                <w:szCs w:val="22"/>
              </w:rPr>
              <w:t xml:space="preserve">Scope 3</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Indirect / value chain</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Student/staff commuting, food procurement, waste disposal</w:t>
            </w:r>
          </w:p>
        </w:tc>
      </w:tr>
    </w:tbl>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1.3  Emission Factors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gridCol w:w="100"/>
        <w:gridCol w:w="100"/>
      </w:tblGrid>
      <w:tr>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Source</w:t>
            </w:r>
          </w:p>
        </w:tc>
        <w:tc>
          <w:tcPr>
            <w:tcW w:type="dxa" w:w="1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Factor</w:t>
            </w:r>
          </w:p>
        </w:tc>
        <w:tc>
          <w:tcPr>
            <w:tcW w:type="dxa" w:w="22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Unit</w:t>
            </w:r>
          </w:p>
        </w:tc>
        <w:tc>
          <w:tcPr>
            <w:tcW w:type="dxa" w:w="1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Scope</w:t>
            </w:r>
          </w:p>
        </w:tc>
        <w:tc>
          <w:tcPr>
            <w:tcW w:type="dxa" w:w="15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Confidence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Grid Electricity</w:t>
            </w:r>
          </w:p>
        </w:tc>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0.70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kg CO₂ / kWh</w:t>
            </w:r>
          </w:p>
        </w:tc>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Scope 2</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High</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Diesel (DG Set)</w:t>
            </w:r>
          </w:p>
        </w:tc>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2.68</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kg CO₂ / litre</w:t>
            </w:r>
          </w:p>
        </w:tc>
        <w:tc>
          <w:tcPr>
            <w:tcW w:type="dxa" w:w="14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pPr>
              <w:spacing w:after="0"/>
            </w:pPr>
            <w:r>
              <w:rPr>
                <w:rFonts w:ascii="Calibri" w:cs="Calibri" w:eastAsia="Calibri" w:hAnsi="Calibri"/>
                <w:color w:val="DC2626"/>
                <w:sz w:val="22"/>
                <w:szCs w:val="22"/>
              </w:rPr>
              <w:t xml:space="preserve">Scope 1</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High</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Petrol (cars)</w:t>
            </w:r>
          </w:p>
        </w:tc>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2.31</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kg CO₂ / litre</w:t>
            </w:r>
          </w:p>
        </w:tc>
        <w:tc>
          <w:tcPr>
            <w:tcW w:type="dxa" w:w="14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pPr>
              <w:spacing w:after="0"/>
            </w:pPr>
            <w:r>
              <w:rPr>
                <w:rFonts w:ascii="Calibri" w:cs="Calibri" w:eastAsia="Calibri" w:hAnsi="Calibri"/>
                <w:color w:val="DC2626"/>
                <w:sz w:val="22"/>
                <w:szCs w:val="22"/>
              </w:rPr>
              <w:t xml:space="preserve">Scope 1</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High</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LPG (canteen)</w:t>
            </w:r>
          </w:p>
        </w:tc>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1.50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kg CO₂ / kg</w:t>
            </w:r>
          </w:p>
        </w:tc>
        <w:tc>
          <w:tcPr>
            <w:tcW w:type="dxa" w:w="14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pPr>
              <w:spacing w:after="0"/>
            </w:pPr>
            <w:r>
              <w:rPr>
                <w:rFonts w:ascii="Calibri" w:cs="Calibri" w:eastAsia="Calibri" w:hAnsi="Calibri"/>
                <w:color w:val="DC2626"/>
                <w:sz w:val="22"/>
                <w:szCs w:val="22"/>
              </w:rPr>
              <w:t xml:space="preserve">Scope 1</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High</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Natural Gas</w:t>
            </w:r>
          </w:p>
        </w:tc>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2.75</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kg CO₂ / m³</w:t>
            </w:r>
          </w:p>
        </w:tc>
        <w:tc>
          <w:tcPr>
            <w:tcW w:type="dxa" w:w="14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pPr>
              <w:spacing w:after="0"/>
            </w:pPr>
            <w:r>
              <w:rPr>
                <w:rFonts w:ascii="Calibri" w:cs="Calibri" w:eastAsia="Calibri" w:hAnsi="Calibri"/>
                <w:color w:val="DC2626"/>
                <w:sz w:val="22"/>
                <w:szCs w:val="22"/>
              </w:rPr>
              <w:t xml:space="preserve">Scope 1</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High</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Car commute</w:t>
            </w:r>
          </w:p>
        </w:tc>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0.18–0.20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kg CO₂ / km</w:t>
            </w:r>
          </w:p>
        </w:tc>
        <w:tc>
          <w:tcPr>
            <w:tcW w:type="dxa" w:w="1400"/>
            <w:tcBorders>
              <w:top w:val="single" w:color="E5E7EB" w:sz="4"/>
              <w:left w:val="single" w:color="E5E7EB" w:sz="4"/>
              <w:bottom w:val="single" w:color="E5E7EB" w:sz="4"/>
              <w:right w:val="single" w:color="E5E7EB" w:sz="4"/>
            </w:tcBorders>
            <w:shd w:fill="F5F3FF" w:val="clear"/>
            <w:tcMar>
              <w:top w:type="dxa" w:w="80"/>
              <w:left w:type="dxa" w:w="120"/>
              <w:bottom w:type="dxa" w:w="80"/>
              <w:right w:type="dxa" w:w="120"/>
            </w:tcMar>
          </w:tcPr>
          <w:p>
            <w:pPr>
              <w:spacing w:after="0"/>
            </w:pPr>
            <w:r>
              <w:rPr>
                <w:rFonts w:ascii="Calibri" w:cs="Calibri" w:eastAsia="Calibri" w:hAnsi="Calibri"/>
                <w:color w:val="7C3AED"/>
                <w:sz w:val="22"/>
                <w:szCs w:val="22"/>
              </w:rPr>
              <w:t xml:space="preserve">Scope 3</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Medium</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Bus commute</w:t>
            </w:r>
          </w:p>
        </w:tc>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0.089</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kg CO₂ / km</w:t>
            </w:r>
          </w:p>
        </w:tc>
        <w:tc>
          <w:tcPr>
            <w:tcW w:type="dxa" w:w="1400"/>
            <w:tcBorders>
              <w:top w:val="single" w:color="E5E7EB" w:sz="4"/>
              <w:left w:val="single" w:color="E5E7EB" w:sz="4"/>
              <w:bottom w:val="single" w:color="E5E7EB" w:sz="4"/>
              <w:right w:val="single" w:color="E5E7EB" w:sz="4"/>
            </w:tcBorders>
            <w:shd w:fill="F5F3FF" w:val="clear"/>
            <w:tcMar>
              <w:top w:type="dxa" w:w="80"/>
              <w:left w:type="dxa" w:w="120"/>
              <w:bottom w:type="dxa" w:w="80"/>
              <w:right w:type="dxa" w:w="120"/>
            </w:tcMar>
          </w:tcPr>
          <w:p>
            <w:pPr>
              <w:spacing w:after="0"/>
            </w:pPr>
            <w:r>
              <w:rPr>
                <w:rFonts w:ascii="Calibri" w:cs="Calibri" w:eastAsia="Calibri" w:hAnsi="Calibri"/>
                <w:color w:val="7C3AED"/>
                <w:sz w:val="22"/>
                <w:szCs w:val="22"/>
              </w:rPr>
              <w:t xml:space="preserve">Scope 3</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Medium</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Bike</w:t>
            </w:r>
          </w:p>
        </w:tc>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0.05–0.08</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kg CO₂ / km</w:t>
            </w:r>
          </w:p>
        </w:tc>
        <w:tc>
          <w:tcPr>
            <w:tcW w:type="dxa" w:w="1400"/>
            <w:tcBorders>
              <w:top w:val="single" w:color="E5E7EB" w:sz="4"/>
              <w:left w:val="single" w:color="E5E7EB" w:sz="4"/>
              <w:bottom w:val="single" w:color="E5E7EB" w:sz="4"/>
              <w:right w:val="single" w:color="E5E7EB" w:sz="4"/>
            </w:tcBorders>
            <w:shd w:fill="F5F3FF" w:val="clear"/>
            <w:tcMar>
              <w:top w:type="dxa" w:w="80"/>
              <w:left w:type="dxa" w:w="120"/>
              <w:bottom w:type="dxa" w:w="80"/>
              <w:right w:type="dxa" w:w="120"/>
            </w:tcMar>
          </w:tcPr>
          <w:p>
            <w:pPr>
              <w:spacing w:after="0"/>
            </w:pPr>
            <w:r>
              <w:rPr>
                <w:rFonts w:ascii="Calibri" w:cs="Calibri" w:eastAsia="Calibri" w:hAnsi="Calibri"/>
                <w:color w:val="7C3AED"/>
                <w:sz w:val="22"/>
                <w:szCs w:val="22"/>
              </w:rPr>
              <w:t xml:space="preserve">Scope 3</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Medium</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Landfill waste</w:t>
            </w:r>
          </w:p>
        </w:tc>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0.50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kg CO₂e / kg</w:t>
            </w:r>
          </w:p>
        </w:tc>
        <w:tc>
          <w:tcPr>
            <w:tcW w:type="dxa" w:w="1400"/>
            <w:tcBorders>
              <w:top w:val="single" w:color="E5E7EB" w:sz="4"/>
              <w:left w:val="single" w:color="E5E7EB" w:sz="4"/>
              <w:bottom w:val="single" w:color="E5E7EB" w:sz="4"/>
              <w:right w:val="single" w:color="E5E7EB" w:sz="4"/>
            </w:tcBorders>
            <w:shd w:fill="F5F3FF" w:val="clear"/>
            <w:tcMar>
              <w:top w:type="dxa" w:w="80"/>
              <w:left w:type="dxa" w:w="120"/>
              <w:bottom w:type="dxa" w:w="80"/>
              <w:right w:type="dxa" w:w="120"/>
            </w:tcMar>
          </w:tcPr>
          <w:p>
            <w:pPr>
              <w:spacing w:after="0"/>
            </w:pPr>
            <w:r>
              <w:rPr>
                <w:rFonts w:ascii="Calibri" w:cs="Calibri" w:eastAsia="Calibri" w:hAnsi="Calibri"/>
                <w:color w:val="7C3AED"/>
                <w:sz w:val="22"/>
                <w:szCs w:val="22"/>
              </w:rPr>
              <w:t xml:space="preserve">Scope 3</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Medium</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CH₄ (GWP)</w:t>
            </w:r>
          </w:p>
        </w:tc>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28× mass</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kg CO₂e</w:t>
            </w:r>
          </w:p>
        </w:tc>
        <w:tc>
          <w:tcPr>
            <w:tcW w:type="dxa" w:w="1400"/>
            <w:tcBorders>
              <w:top w:val="single" w:color="E5E7EB" w:sz="4"/>
              <w:left w:val="single" w:color="E5E7EB" w:sz="4"/>
              <w:bottom w:val="single" w:color="E5E7EB" w:sz="4"/>
              <w:right w:val="single" w:color="E5E7EB" w:sz="4"/>
            </w:tcBorders>
            <w:shd w:fill="F5F3FF" w:val="clear"/>
            <w:tcMar>
              <w:top w:type="dxa" w:w="80"/>
              <w:left w:type="dxa" w:w="120"/>
              <w:bottom w:type="dxa" w:w="80"/>
              <w:right w:type="dxa" w:w="120"/>
            </w:tcMar>
          </w:tcPr>
          <w:p>
            <w:pPr>
              <w:spacing w:after="0"/>
            </w:pPr>
            <w:r>
              <w:rPr>
                <w:rFonts w:ascii="Calibri" w:cs="Calibri" w:eastAsia="Calibri" w:hAnsi="Calibri"/>
                <w:color w:val="7C3AED"/>
                <w:sz w:val="22"/>
                <w:szCs w:val="22"/>
              </w:rPr>
              <w:t xml:space="preserve">Any</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High</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N₂O (GWP)</w:t>
            </w:r>
          </w:p>
        </w:tc>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265× mass</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kg CO₂e</w:t>
            </w:r>
          </w:p>
        </w:tc>
        <w:tc>
          <w:tcPr>
            <w:tcW w:type="dxa" w:w="1400"/>
            <w:tcBorders>
              <w:top w:val="single" w:color="E5E7EB" w:sz="4"/>
              <w:left w:val="single" w:color="E5E7EB" w:sz="4"/>
              <w:bottom w:val="single" w:color="E5E7EB" w:sz="4"/>
              <w:right w:val="single" w:color="E5E7EB" w:sz="4"/>
            </w:tcBorders>
            <w:shd w:fill="F5F3FF" w:val="clear"/>
            <w:tcMar>
              <w:top w:type="dxa" w:w="80"/>
              <w:left w:type="dxa" w:w="120"/>
              <w:bottom w:type="dxa" w:w="80"/>
              <w:right w:type="dxa" w:w="120"/>
            </w:tcMar>
          </w:tcPr>
          <w:p>
            <w:pPr>
              <w:spacing w:after="0"/>
            </w:pPr>
            <w:r>
              <w:rPr>
                <w:rFonts w:ascii="Calibri" w:cs="Calibri" w:eastAsia="Calibri" w:hAnsi="Calibri"/>
                <w:color w:val="7C3AED"/>
                <w:sz w:val="22"/>
                <w:szCs w:val="22"/>
              </w:rPr>
              <w:t xml:space="preserve">Any</w:t>
            </w:r>
          </w:p>
        </w:tc>
        <w:tc>
          <w:tcPr>
            <w:tcW w:type="dxa" w:w="1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High</w:t>
            </w:r>
          </w:p>
        </w:tc>
      </w:tr>
    </w:tbl>
    <w:p>
      <w:pPr>
        <w:spacing w:after="120"/>
      </w:pPr>
      <w:r>
        <w:rPr>
          <w:rFonts w:ascii="Calibri" w:cs="Calibri" w:eastAsia="Calibri" w:hAnsi="Calibri"/>
          <w:i/>
          <w:iCs/>
          <w:color w:val="6B7280"/>
          <w:sz w:val="18"/>
          <w:szCs w:val="18"/>
        </w:rPr>
        <w:t xml:space="preserve">Note: Replace all factors above with institution-specific or national authority values before formal reporting.</w:t>
      </w:r>
    </w:p>
    <w:p>
      <w:pPr>
        <w:spacing w:after="0"/>
      </w:pPr>
      <w:r>
        <w:br w:type="page"/>
      </w:r>
    </w:p>
    <w:p>
      <w:pPr>
        <w:pStyle w:val="Heading1"/>
        <w:pBdr>
          <w:bottom w:val="single" w:color="16A34A" w:sz="6" w:space="4"/>
        </w:pBdr>
        <w:spacing w:before="480" w:after="200"/>
      </w:pPr>
      <w:r>
        <w:rPr>
          <w:rFonts w:ascii="Calibri" w:cs="Calibri" w:eastAsia="Calibri" w:hAnsi="Calibri"/>
          <w:b/>
          <w:bCs/>
          <w:color w:val="111827"/>
          <w:sz w:val="40"/>
          <w:szCs w:val="40"/>
        </w:rPr>
        <w:t xml:space="preserve">2. Information Architecture &amp; Site Map</w:t>
      </w:r>
    </w:p>
    <w:p>
      <w:pPr>
        <w:spacing w:after="120"/>
      </w:pPr>
      <w:r>
        <w:rPr>
          <w:rFonts w:ascii="Calibri" w:cs="Calibri" w:eastAsia="Calibri" w:hAnsi="Calibri"/>
          <w:sz w:val="22"/>
          <w:szCs w:val="22"/>
        </w:rPr>
        <w:t xml:space="preserve">The dashboard is organized into six primary pages accessible via a persistent left sidebar. Every page shares the same top bar with global controls (period selector, scope toggle, unit toggle).</w:t>
      </w:r>
    </w:p>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2.1  Global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gridCol w:w="100"/>
      </w:tblGrid>
      <w:tr>
        <w:tc>
          <w:tcPr>
            <w:tcW w:type="dxa" w:w="1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Page</w:t>
            </w:r>
          </w:p>
        </w:tc>
        <w:tc>
          <w:tcPr>
            <w:tcW w:type="dxa" w:w="6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Icon</w:t>
            </w:r>
          </w:p>
        </w:tc>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Primary Audience</w:t>
            </w:r>
          </w:p>
        </w:tc>
        <w:tc>
          <w:tcPr>
            <w:tcW w:type="dxa" w:w="45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Key Purpose</w:t>
            </w:r>
          </w:p>
        </w:tc>
      </w:tr>
      <w:tr>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Overview</w:t>
            </w:r>
          </w:p>
        </w:tc>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6B7280"/>
                <w:sz w:val="22"/>
                <w:szCs w:val="22"/>
              </w:rPr>
              <w:t xml:space="preserv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All stakeholders</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Campus-level summary: KPIs, total trend, category split</w:t>
            </w:r>
          </w:p>
        </w:tc>
      </w:tr>
      <w:tr>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Energy</w:t>
            </w:r>
          </w:p>
        </w:tc>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6B7280"/>
                <w:sz w:val="22"/>
                <w:szCs w:val="22"/>
              </w:rPr>
              <w:t xml:space="preserv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Facilities / Sustainability</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Building-wise electricity, diesel, LPG — drilldown to meter level</w:t>
            </w:r>
          </w:p>
        </w:tc>
      </w:tr>
      <w:tr>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Transport</w:t>
            </w:r>
          </w:p>
        </w:tc>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6B7280"/>
                <w:sz w:val="22"/>
                <w:szCs w:val="22"/>
              </w:rPr>
              <w:t xml:space="preserv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Sustainability officers</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Commute modal split, per-mode CO₂, student vs staff cohorts</w:t>
            </w:r>
          </w:p>
        </w:tc>
      </w:tr>
      <w:tr>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Waste</w:t>
            </w:r>
          </w:p>
        </w:tc>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6B7280"/>
                <w:sz w:val="22"/>
                <w:szCs w:val="22"/>
              </w:rPr>
              <w:t xml:space="preserv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Sustainability / Ops</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Landfill vs recycling vs composting; what-if composting scenarios</w:t>
            </w:r>
          </w:p>
        </w:tc>
      </w:tr>
      <w:tr>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Scenario Planner</w:t>
            </w:r>
          </w:p>
        </w:tc>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6B7280"/>
                <w:sz w:val="22"/>
                <w:szCs w:val="22"/>
              </w:rPr>
              <w:t xml:space="preserv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Leadership / Policy</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Model intervention impacts: solar, EV adoption, fuel reduction</w:t>
            </w:r>
          </w:p>
        </w:tc>
      </w:tr>
      <w:tr>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Settings</w:t>
            </w:r>
          </w:p>
        </w:tc>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6B7280"/>
                <w:sz w:val="22"/>
                <w:szCs w:val="22"/>
              </w:rPr>
              <w:t xml:space="preserv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Admin / Data team</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Emission factors, confidence levels, missing-data policy</w:t>
            </w:r>
          </w:p>
        </w:tc>
      </w:tr>
    </w:tbl>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2.2  Global Top Bar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Control</w:t>
            </w:r>
          </w:p>
        </w:tc>
        <w:tc>
          <w:tcPr>
            <w:tcW w:type="dxa" w:w="30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Options</w:t>
            </w:r>
          </w:p>
        </w:tc>
        <w:tc>
          <w:tcPr>
            <w:tcW w:type="dxa" w:w="39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Effect on Dashboard</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Period Selector</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Month / Quarter / Year / Custom range</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All charts re-aggregate; KPIs animate to new values; MoM badge updates</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Scope Toggle</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Category View ↔ Scope 1/2/3 View</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Recolors all charts and relabels legends by scope classification</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Unit Toggle</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kg CO₂e ↔ Tonnes CO₂e</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Divides all displayed values by 1,000 and updates axis labels</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Export Button</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PNG / CSV / PDF</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Exports currently visible chart or full page report</w:t>
            </w:r>
          </w:p>
        </w:tc>
      </w:tr>
    </w:tbl>
    <w:p>
      <w:pPr>
        <w:spacing w:after="0"/>
      </w:pPr>
      <w:r>
        <w:br w:type="page"/>
      </w:r>
    </w:p>
    <w:p>
      <w:pPr>
        <w:pStyle w:val="Heading1"/>
        <w:pBdr>
          <w:bottom w:val="single" w:color="16A34A" w:sz="6" w:space="4"/>
        </w:pBdr>
        <w:spacing w:before="480" w:after="200"/>
      </w:pPr>
      <w:r>
        <w:rPr>
          <w:rFonts w:ascii="Calibri" w:cs="Calibri" w:eastAsia="Calibri" w:hAnsi="Calibri"/>
          <w:b/>
          <w:bCs/>
          <w:color w:val="111827"/>
          <w:sz w:val="40"/>
          <w:szCs w:val="40"/>
        </w:rPr>
        <w:t xml:space="preserve">3. Page-by-Page Specification</w:t>
      </w:r>
    </w:p>
    <w:p>
      <w:pPr>
        <w:pStyle w:val="Heading2"/>
        <w:spacing w:before="360" w:after="160"/>
      </w:pPr>
      <w:r>
        <w:rPr>
          <w:rFonts w:ascii="Calibri" w:cs="Calibri" w:eastAsia="Calibri" w:hAnsi="Calibri"/>
          <w:b/>
          <w:bCs/>
          <w:color w:val="166534"/>
          <w:sz w:val="30"/>
          <w:szCs w:val="30"/>
        </w:rPr>
        <w:t xml:space="preserve">Page 1 — Overview</w:t>
      </w:r>
    </w:p>
    <w:p>
      <w:pPr>
        <w:spacing w:after="120"/>
      </w:pPr>
      <w:r>
        <w:rPr>
          <w:rFonts w:ascii="Calibri" w:cs="Calibri" w:eastAsia="Calibri" w:hAnsi="Calibri"/>
          <w:sz w:val="22"/>
          <w:szCs w:val="22"/>
        </w:rPr>
        <w:t xml:space="preserve">The landing page every stakeholder sees first. Provides the single-screen story: how much CO₂e is the campus emitting, in which direction is it trending, and what are the three main drivers?</w:t>
      </w:r>
    </w:p>
    <w:p>
      <w:pPr>
        <w:spacing w:after="80"/>
      </w:pPr>
      <w:r>
        <w:rPr>
          <w:rFonts w:ascii="Calibri" w:cs="Calibri" w:eastAsia="Calibri" w:hAnsi="Calibri"/>
          <w:sz w:val="22"/>
          <w:szCs w:val="22"/>
        </w:rPr>
        <w:t xml:space="preserve"/>
      </w:r>
    </w:p>
    <w:p>
      <w:pPr>
        <w:pStyle w:val="Heading3"/>
        <w:spacing w:before="240" w:after="120"/>
      </w:pPr>
      <w:r>
        <w:rPr>
          <w:rFonts w:ascii="Calibri" w:cs="Calibri" w:eastAsia="Calibri" w:hAnsi="Calibri"/>
          <w:b/>
          <w:bCs/>
          <w:color w:val="374151"/>
          <w:sz w:val="24"/>
          <w:szCs w:val="24"/>
        </w:rPr>
        <w:t xml:space="preserve">3.1.A  KPI Tiles Row — 5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284C7" w:sz="4"/>
              <w:left w:val="single" w:color="0284C7" w:sz="4"/>
              <w:bottom w:val="single" w:color="0284C7" w:sz="4"/>
              <w:right w:val="single" w:color="0284C7" w:sz="4"/>
            </w:tcBorders>
            <w:shd w:fill="0284C7" w:val="clear"/>
            <w:tcMar>
              <w:top w:type="dxa" w:w="80"/>
              <w:left w:type="dxa" w:w="120"/>
              <w:bottom w:type="dxa" w:w="80"/>
              <w:right w:type="dxa" w:w="120"/>
            </w:tcMar>
          </w:tcPr>
          <w:p>
            <w:pPr>
              <w:spacing w:after="0"/>
              <w:jc w:val="center"/>
            </w:pPr>
            <w:r>
              <w:rPr>
                <w:rFonts w:ascii="Calibri" w:cs="Calibri" w:eastAsia="Calibri" w:hAnsi="Calibri"/>
                <w:b/>
                <w:bCs/>
                <w:color w:val="FFFFFF"/>
                <w:sz w:val="18"/>
                <w:szCs w:val="18"/>
              </w:rPr>
              <w:t xml:space="preserve">VIZ A</w:t>
            </w:r>
          </w:p>
        </w:tc>
        <w:tc>
          <w:tcPr>
            <w:tcW w:type="dxa" w:w="8960"/>
            <w:tcBorders>
              <w:top w:val="single" w:color="0284C7" w:sz="4"/>
              <w:left w:val="single" w:color="0284C7" w:sz="4"/>
              <w:bottom w:val="single" w:color="0284C7" w:sz="4"/>
              <w:right w:val="single" w:color="0284C7" w:sz="4"/>
            </w:tcBorders>
            <w:shd w:fill="EFF6FF" w:val="clear"/>
            <w:tcMar>
              <w:top w:type="dxa" w:w="80"/>
              <w:left w:type="dxa" w:w="160"/>
              <w:bottom w:type="dxa" w:w="80"/>
              <w:right w:type="dxa" w:w="120"/>
            </w:tcMar>
          </w:tcPr>
          <w:p>
            <w:pPr>
              <w:spacing w:after="0"/>
            </w:pPr>
            <w:r>
              <w:rPr>
                <w:rFonts w:ascii="Calibri" w:cs="Calibri" w:eastAsia="Calibri" w:hAnsi="Calibri"/>
                <w:color w:val="374151"/>
                <w:sz w:val="22"/>
                <w:szCs w:val="22"/>
              </w:rPr>
              <w:t xml:space="preserve">Numeric tiles / KPI cards — immediate top-level summary for all stakeholders</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gridCol w:w="100"/>
      </w:tblGrid>
      <w:tr>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KPI Card</w:t>
            </w:r>
          </w:p>
        </w:tc>
        <w:tc>
          <w:tcPr>
            <w:tcW w:type="dxa" w:w="32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Formula</w:t>
            </w:r>
          </w:p>
        </w:tc>
        <w:tc>
          <w:tcPr>
            <w:tcW w:type="dxa" w:w="1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Data Source Tag</w:t>
            </w:r>
          </w:p>
        </w:tc>
        <w:tc>
          <w:tcPr>
            <w:tcW w:type="dxa" w:w="19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Confidence</w:t>
            </w:r>
          </w:p>
        </w:tc>
      </w:tr>
      <w:tr>
        <w:tc>
          <w:tcPr>
            <w:tcW w:type="dxa" w:w="24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Total CO₂e</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Σ energy + transport + waste + other</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meter / bill</w:t>
            </w:r>
          </w:p>
        </w:tc>
        <w:tc>
          <w:tcPr>
            <w:tcW w:type="dxa" w:w="1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High</w:t>
            </w:r>
          </w:p>
        </w:tc>
      </w:tr>
      <w:tr>
        <w:tc>
          <w:tcPr>
            <w:tcW w:type="dxa" w:w="24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Energy CO₂e</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electricity×EF + diesel×EF + LPG×EF</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bill / meter</w:t>
            </w:r>
          </w:p>
        </w:tc>
        <w:tc>
          <w:tcPr>
            <w:tcW w:type="dxa" w:w="1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High</w:t>
            </w:r>
          </w:p>
        </w:tc>
      </w:tr>
      <w:tr>
        <w:tc>
          <w:tcPr>
            <w:tcW w:type="dxa" w:w="24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Transport CO₂e</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Σ all modes (distance×EF or fuel×EF)</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survey / log</w:t>
            </w:r>
          </w:p>
        </w:tc>
        <w:tc>
          <w:tcPr>
            <w:tcW w:type="dxa" w:w="1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Medium</w:t>
            </w:r>
          </w:p>
        </w:tc>
      </w:tr>
      <w:tr>
        <w:tc>
          <w:tcPr>
            <w:tcW w:type="dxa" w:w="24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Waste CO₂e</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landfill×EF − recycling credit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bill / log</w:t>
            </w:r>
          </w:p>
        </w:tc>
        <w:tc>
          <w:tcPr>
            <w:tcW w:type="dxa" w:w="1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Medium</w:t>
            </w:r>
          </w:p>
        </w:tc>
      </w:tr>
      <w:tr>
        <w:tc>
          <w:tcPr>
            <w:tcW w:type="dxa" w:w="24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Per Capita CO₂e</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total_co2e ÷ (students + staff)</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estimate</w:t>
            </w:r>
          </w:p>
        </w:tc>
        <w:tc>
          <w:tcPr>
            <w:tcW w:type="dxa" w:w="1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Medium</w:t>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Each KPI card includes: </w:t>
      </w:r>
      <w:r>
        <w:rPr>
          <w:rFonts w:ascii="Calibri" w:cs="Calibri" w:eastAsia="Calibri" w:hAnsi="Calibri"/>
          <w:sz w:val="22"/>
          <w:szCs w:val="22"/>
        </w:rPr>
        <w:t xml:space="preserve">colored top accent bar per category, MoM % delta badge (green if down, red if up), data provenance badge (meter/bill/survey/estimate), confidence dot (green/amber/red), hover tooltip with period and source details.</w:t>
      </w:r>
    </w:p>
    <w:p>
      <w:pPr>
        <w:spacing w:after="8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Click interaction: </w:t>
      </w:r>
      <w:r>
        <w:rPr>
          <w:rFonts w:ascii="Calibri" w:cs="Calibri" w:eastAsia="Calibri" w:hAnsi="Calibri"/>
          <w:sz w:val="22"/>
          <w:szCs w:val="22"/>
        </w:rPr>
        <w:t xml:space="preserve">Clicking any KPI card navigates to the corresponding category page (Energy, Transport, Waste), with that metric pre-highlighted.</w:t>
      </w:r>
    </w:p>
    <w:p>
      <w:pPr>
        <w:spacing w:after="80"/>
      </w:pPr>
      <w:r>
        <w:rPr>
          <w:rFonts w:ascii="Calibri" w:cs="Calibri" w:eastAsia="Calibri" w:hAnsi="Calibri"/>
          <w:sz w:val="22"/>
          <w:szCs w:val="22"/>
        </w:rPr>
        <w:t xml:space="preserve"/>
      </w:r>
    </w:p>
    <w:p>
      <w:pPr>
        <w:pStyle w:val="Heading3"/>
        <w:spacing w:before="240" w:after="120"/>
      </w:pPr>
      <w:r>
        <w:rPr>
          <w:rFonts w:ascii="Calibri" w:cs="Calibri" w:eastAsia="Calibri" w:hAnsi="Calibri"/>
          <w:b/>
          <w:bCs/>
          <w:color w:val="374151"/>
          <w:sz w:val="24"/>
          <w:szCs w:val="24"/>
        </w:rPr>
        <w:t xml:space="preserve">3.1.B  Campus Total CO₂e Trend — Line / Area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284C7" w:sz="4"/>
              <w:left w:val="single" w:color="0284C7" w:sz="4"/>
              <w:bottom w:val="single" w:color="0284C7" w:sz="4"/>
              <w:right w:val="single" w:color="0284C7" w:sz="4"/>
            </w:tcBorders>
            <w:shd w:fill="0284C7" w:val="clear"/>
            <w:tcMar>
              <w:top w:type="dxa" w:w="80"/>
              <w:left w:type="dxa" w:w="120"/>
              <w:bottom w:type="dxa" w:w="80"/>
              <w:right w:type="dxa" w:w="120"/>
            </w:tcMar>
          </w:tcPr>
          <w:p>
            <w:pPr>
              <w:spacing w:after="0"/>
              <w:jc w:val="center"/>
            </w:pPr>
            <w:r>
              <w:rPr>
                <w:rFonts w:ascii="Calibri" w:cs="Calibri" w:eastAsia="Calibri" w:hAnsi="Calibri"/>
                <w:b/>
                <w:bCs/>
                <w:color w:val="FFFFFF"/>
                <w:sz w:val="18"/>
                <w:szCs w:val="18"/>
              </w:rPr>
              <w:t xml:space="preserve">VIZ B</w:t>
            </w:r>
          </w:p>
        </w:tc>
        <w:tc>
          <w:tcPr>
            <w:tcW w:type="dxa" w:w="8960"/>
            <w:tcBorders>
              <w:top w:val="single" w:color="0284C7" w:sz="4"/>
              <w:left w:val="single" w:color="0284C7" w:sz="4"/>
              <w:bottom w:val="single" w:color="0284C7" w:sz="4"/>
              <w:right w:val="single" w:color="0284C7" w:sz="4"/>
            </w:tcBorders>
            <w:shd w:fill="EFF6FF" w:val="clear"/>
            <w:tcMar>
              <w:top w:type="dxa" w:w="80"/>
              <w:left w:type="dxa" w:w="160"/>
              <w:bottom w:type="dxa" w:w="80"/>
              <w:right w:type="dxa" w:w="120"/>
            </w:tcMar>
          </w:tcPr>
          <w:p>
            <w:pPr>
              <w:spacing w:after="0"/>
            </w:pPr>
            <w:r>
              <w:rPr>
                <w:rFonts w:ascii="Calibri" w:cs="Calibri" w:eastAsia="Calibri" w:hAnsi="Calibri"/>
                <w:color w:val="374151"/>
                <w:sz w:val="22"/>
                <w:szCs w:val="22"/>
              </w:rPr>
              <w:t xml:space="preserve">Time-series line chart showing monthly total CO₂e — primary trend indicator</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Attribute</w:t>
            </w:r>
          </w:p>
        </w:tc>
        <w:tc>
          <w:tcPr>
            <w:tcW w:type="dxa" w:w="69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Detail</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Chart type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Area chart with gradient fill (area emphasizes magnitude)</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X-axis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Month labels (Jul, Aug, Sep …) — driven by period selector</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Y-axis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CO₂e in kg or tonnes (unit toggle)</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Data required</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total_co2e aggregated per month across all categories</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Aggregation</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SUM of energy_co2 + transport_co2 + waste_co2 per time bucket</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Hover tooltip</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Shows breakdown: Energy X kg | Transport Y kg | Waste Z kg</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Optional overlay</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Forecast line (dashed) using linear regression on last 6 months</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Interactions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Zoom on range by dragging; hover for stacked breakdown tooltip</w:t>
            </w:r>
          </w:p>
        </w:tc>
      </w:tr>
    </w:tbl>
    <w:p>
      <w:pPr>
        <w:spacing w:after="80"/>
      </w:pPr>
      <w:r>
        <w:rPr>
          <w:rFonts w:ascii="Calibri" w:cs="Calibri" w:eastAsia="Calibri" w:hAnsi="Calibri"/>
          <w:sz w:val="22"/>
          <w:szCs w:val="22"/>
        </w:rPr>
        <w:t xml:space="preserve"/>
      </w:r>
    </w:p>
    <w:p>
      <w:pPr>
        <w:pStyle w:val="Heading3"/>
        <w:spacing w:before="240" w:after="120"/>
      </w:pPr>
      <w:r>
        <w:rPr>
          <w:rFonts w:ascii="Calibri" w:cs="Calibri" w:eastAsia="Calibri" w:hAnsi="Calibri"/>
          <w:b/>
          <w:bCs/>
          <w:color w:val="374151"/>
          <w:sz w:val="24"/>
          <w:szCs w:val="24"/>
        </w:rPr>
        <w:t xml:space="preserve">3.1.C  Emissions by Category — Stacked Area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284C7" w:sz="4"/>
              <w:left w:val="single" w:color="0284C7" w:sz="4"/>
              <w:bottom w:val="single" w:color="0284C7" w:sz="4"/>
              <w:right w:val="single" w:color="0284C7" w:sz="4"/>
            </w:tcBorders>
            <w:shd w:fill="0284C7" w:val="clear"/>
            <w:tcMar>
              <w:top w:type="dxa" w:w="80"/>
              <w:left w:type="dxa" w:w="120"/>
              <w:bottom w:type="dxa" w:w="80"/>
              <w:right w:type="dxa" w:w="120"/>
            </w:tcMar>
          </w:tcPr>
          <w:p>
            <w:pPr>
              <w:spacing w:after="0"/>
              <w:jc w:val="center"/>
            </w:pPr>
            <w:r>
              <w:rPr>
                <w:rFonts w:ascii="Calibri" w:cs="Calibri" w:eastAsia="Calibri" w:hAnsi="Calibri"/>
                <w:b/>
                <w:bCs/>
                <w:color w:val="FFFFFF"/>
                <w:sz w:val="18"/>
                <w:szCs w:val="18"/>
              </w:rPr>
              <w:t xml:space="preserve">VIZ C</w:t>
            </w:r>
          </w:p>
        </w:tc>
        <w:tc>
          <w:tcPr>
            <w:tcW w:type="dxa" w:w="8960"/>
            <w:tcBorders>
              <w:top w:val="single" w:color="0284C7" w:sz="4"/>
              <w:left w:val="single" w:color="0284C7" w:sz="4"/>
              <w:bottom w:val="single" w:color="0284C7" w:sz="4"/>
              <w:right w:val="single" w:color="0284C7" w:sz="4"/>
            </w:tcBorders>
            <w:shd w:fill="EFF6FF" w:val="clear"/>
            <w:tcMar>
              <w:top w:type="dxa" w:w="80"/>
              <w:left w:type="dxa" w:w="160"/>
              <w:bottom w:type="dxa" w:w="80"/>
              <w:right w:type="dxa" w:w="120"/>
            </w:tcMar>
          </w:tcPr>
          <w:p>
            <w:pPr>
              <w:spacing w:after="0"/>
            </w:pPr>
            <w:r>
              <w:rPr>
                <w:rFonts w:ascii="Calibri" w:cs="Calibri" w:eastAsia="Calibri" w:hAnsi="Calibri"/>
                <w:color w:val="374151"/>
                <w:sz w:val="22"/>
                <w:szCs w:val="22"/>
              </w:rPr>
              <w:t xml:space="preserve">Stacked area (or stacked bar) showing Energy / Transport / Waste contribution over time</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Attribute</w:t>
            </w:r>
          </w:p>
        </w:tc>
        <w:tc>
          <w:tcPr>
            <w:tcW w:type="dxa" w:w="69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Detail</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Chart type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Stacked area chart (switchable to stacked bar via toggle)</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Layers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Energy (blue) | Transport (amber) | Waste (purple)</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Data required</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energy_co2e, transport_co2e, waste_co2e per period</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Toggle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Legend click shows/hides individual layers</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Normalize button</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Switches between absolute (kg) and 100% stacked (% share) views</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Color coding</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Category view: blue/amber/purple | Scope view: red/blue/purple by scope</w:t>
            </w:r>
          </w:p>
        </w:tc>
      </w:tr>
    </w:tbl>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Page 2 — Energy</w:t>
      </w:r>
    </w:p>
    <w:p>
      <w:pPr>
        <w:spacing w:after="120"/>
      </w:pPr>
      <w:r>
        <w:rPr>
          <w:rFonts w:ascii="Calibri" w:cs="Calibri" w:eastAsia="Calibri" w:hAnsi="Calibri"/>
          <w:sz w:val="22"/>
          <w:szCs w:val="22"/>
        </w:rPr>
        <w:t xml:space="preserve">Deep-dive into energy consumption by building. Contains the most granular data in the dashboard — enabling the facilities team to identify problem buildings and track meter-level changes month over month.</w:t>
      </w:r>
    </w:p>
    <w:p>
      <w:pPr>
        <w:spacing w:after="80"/>
      </w:pPr>
      <w:r>
        <w:rPr>
          <w:rFonts w:ascii="Calibri" w:cs="Calibri" w:eastAsia="Calibri" w:hAnsi="Calibri"/>
          <w:sz w:val="22"/>
          <w:szCs w:val="22"/>
        </w:rPr>
        <w:t xml:space="preserve"/>
      </w:r>
    </w:p>
    <w:p>
      <w:pPr>
        <w:pStyle w:val="Heading3"/>
        <w:spacing w:before="240" w:after="120"/>
      </w:pPr>
      <w:r>
        <w:rPr>
          <w:rFonts w:ascii="Calibri" w:cs="Calibri" w:eastAsia="Calibri" w:hAnsi="Calibri"/>
          <w:b/>
          <w:bCs/>
          <w:color w:val="374151"/>
          <w:sz w:val="24"/>
          <w:szCs w:val="24"/>
        </w:rPr>
        <w:t xml:space="preserve">3.2.D  Building-Wise CO₂ — Horizontal Bar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jc w:val="center"/>
            </w:pPr>
            <w:r>
              <w:rPr>
                <w:rFonts w:ascii="Calibri" w:cs="Calibri" w:eastAsia="Calibri" w:hAnsi="Calibri"/>
                <w:b/>
                <w:bCs/>
                <w:color w:val="FFFFFF"/>
                <w:sz w:val="18"/>
                <w:szCs w:val="18"/>
              </w:rPr>
              <w:t xml:space="preserve">VIZ D</w:t>
            </w:r>
          </w:p>
        </w:tc>
        <w:tc>
          <w:tcPr>
            <w:tcW w:type="dxa" w:w="8960"/>
            <w:tcBorders>
              <w:top w:val="single" w:color="166534" w:sz="4"/>
              <w:left w:val="single" w:color="166534" w:sz="4"/>
              <w:bottom w:val="single" w:color="166534" w:sz="4"/>
              <w:right w:val="single" w:color="166534" w:sz="4"/>
            </w:tcBorders>
            <w:shd w:fill="DCFCE7" w:val="clear"/>
            <w:tcMar>
              <w:top w:type="dxa" w:w="80"/>
              <w:left w:type="dxa" w:w="160"/>
              <w:bottom w:type="dxa" w:w="80"/>
              <w:right w:type="dxa" w:w="120"/>
            </w:tcMar>
          </w:tcPr>
          <w:p>
            <w:pPr>
              <w:spacing w:after="0"/>
            </w:pPr>
            <w:r>
              <w:rPr>
                <w:rFonts w:ascii="Calibri" w:cs="Calibri" w:eastAsia="Calibri" w:hAnsi="Calibri"/>
                <w:color w:val="374151"/>
                <w:sz w:val="22"/>
                <w:szCs w:val="22"/>
              </w:rPr>
              <w:t xml:space="preserve">Sorted horizontal bar chart — identifies highest energy-consuming buildings for intervention priority</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Attribute</w:t>
            </w:r>
          </w:p>
        </w:tc>
        <w:tc>
          <w:tcPr>
            <w:tcW w:type="dxa" w:w="69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Detail</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Chart type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Horizontal bar chart, sorted descending by CO₂e</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Primary metric</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kg CO₂ per building (bar length)</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Secondary axis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kWh displayed as annotation label on bar</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Bar color</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Green gradient for metered data; soft pink for estimated (*)</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Data required</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building_name, electricity_kwh, electricity_co2, diesel_co2, lpg_co2</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KPI overlays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CO₂ per m² and CO₂ per occupant shown as secondary KPI chips</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Click behavior</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Opens right-side drilldown panel for that building (see 3.2.J)</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Estimation flag</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Asterisk (*) on bar label if building data is estimated, not metered</w:t>
            </w:r>
          </w:p>
        </w:tc>
      </w:tr>
    </w:tbl>
    <w:p>
      <w:pPr>
        <w:spacing w:after="80"/>
      </w:pPr>
      <w:r>
        <w:rPr>
          <w:rFonts w:ascii="Calibri" w:cs="Calibri" w:eastAsia="Calibri" w:hAnsi="Calibri"/>
          <w:sz w:val="22"/>
          <w:szCs w:val="22"/>
        </w:rPr>
        <w:t xml:space="preserve"/>
      </w:r>
    </w:p>
    <w:p>
      <w:pPr>
        <w:pStyle w:val="Heading3"/>
        <w:spacing w:before="240" w:after="120"/>
      </w:pPr>
      <w:r>
        <w:rPr>
          <w:rFonts w:ascii="Calibri" w:cs="Calibri" w:eastAsia="Calibri" w:hAnsi="Calibri"/>
          <w:b/>
          <w:bCs/>
          <w:color w:val="374151"/>
          <w:sz w:val="24"/>
          <w:szCs w:val="24"/>
        </w:rPr>
        <w:t xml:space="preserve">3.2.E  Energy Intensity Heatmap — Building × Month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jc w:val="center"/>
            </w:pPr>
            <w:r>
              <w:rPr>
                <w:rFonts w:ascii="Calibri" w:cs="Calibri" w:eastAsia="Calibri" w:hAnsi="Calibri"/>
                <w:b/>
                <w:bCs/>
                <w:color w:val="FFFFFF"/>
                <w:sz w:val="18"/>
                <w:szCs w:val="18"/>
              </w:rPr>
              <w:t xml:space="preserve">VIZ E</w:t>
            </w:r>
          </w:p>
        </w:tc>
        <w:tc>
          <w:tcPr>
            <w:tcW w:type="dxa" w:w="8960"/>
            <w:tcBorders>
              <w:top w:val="single" w:color="166534" w:sz="4"/>
              <w:left w:val="single" w:color="166534" w:sz="4"/>
              <w:bottom w:val="single" w:color="166534" w:sz="4"/>
              <w:right w:val="single" w:color="166534" w:sz="4"/>
            </w:tcBorders>
            <w:shd w:fill="DCFCE7" w:val="clear"/>
            <w:tcMar>
              <w:top w:type="dxa" w:w="80"/>
              <w:left w:type="dxa" w:w="160"/>
              <w:bottom w:type="dxa" w:w="80"/>
              <w:right w:type="dxa" w:w="120"/>
            </w:tcMar>
          </w:tcPr>
          <w:p>
            <w:pPr>
              <w:spacing w:after="0"/>
            </w:pPr>
            <w:r>
              <w:rPr>
                <w:rFonts w:ascii="Calibri" w:cs="Calibri" w:eastAsia="Calibri" w:hAnsi="Calibri"/>
                <w:color w:val="374151"/>
                <w:sz w:val="22"/>
                <w:szCs w:val="22"/>
              </w:rPr>
              <w:t xml:space="preserve">Color-coded matrix (building rows × month columns) to reveal seasonality and hotspot buildings</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Attribute</w:t>
            </w:r>
          </w:p>
        </w:tc>
        <w:tc>
          <w:tcPr>
            <w:tcW w:type="dxa" w:w="69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Detail</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Chart type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Custom HTML/CSS heatmap table (not Recharts)</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Rows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One row per building</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Columns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One column per month (last 9–12 months)</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Cell value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kWh (displayed) with color intensity mapped to value range</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Color scale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White (low) → deep green (high), normalized per row</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Hover</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Tooltip shows exact kWh, CO₂ value, and MoM change %</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Sort control</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Sort rows by: total kWh | peak month | building name</w:t>
            </w:r>
          </w:p>
        </w:tc>
      </w:tr>
    </w:tbl>
    <w:p>
      <w:pPr>
        <w:spacing w:after="80"/>
      </w:pPr>
      <w:r>
        <w:rPr>
          <w:rFonts w:ascii="Calibri" w:cs="Calibri" w:eastAsia="Calibri" w:hAnsi="Calibri"/>
          <w:sz w:val="22"/>
          <w:szCs w:val="22"/>
        </w:rPr>
        <w:t xml:space="preserve"/>
      </w:r>
    </w:p>
    <w:p>
      <w:pPr>
        <w:pStyle w:val="Heading3"/>
        <w:spacing w:before="240" w:after="120"/>
      </w:pPr>
      <w:r>
        <w:rPr>
          <w:rFonts w:ascii="Calibri" w:cs="Calibri" w:eastAsia="Calibri" w:hAnsi="Calibri"/>
          <w:b/>
          <w:bCs/>
          <w:color w:val="374151"/>
          <w:sz w:val="24"/>
          <w:szCs w:val="24"/>
        </w:rPr>
        <w:t xml:space="preserve">3.2.J  Building Drilldown Panel — Right Drawer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jc w:val="center"/>
            </w:pPr>
            <w:r>
              <w:rPr>
                <w:rFonts w:ascii="Calibri" w:cs="Calibri" w:eastAsia="Calibri" w:hAnsi="Calibri"/>
                <w:b/>
                <w:bCs/>
                <w:color w:val="FFFFFF"/>
                <w:sz w:val="18"/>
                <w:szCs w:val="18"/>
              </w:rPr>
              <w:t xml:space="preserve">VIZ J</w:t>
            </w:r>
          </w:p>
        </w:tc>
        <w:tc>
          <w:tcPr>
            <w:tcW w:type="dxa" w:w="8960"/>
            <w:tcBorders>
              <w:top w:val="single" w:color="166534" w:sz="4"/>
              <w:left w:val="single" w:color="166534" w:sz="4"/>
              <w:bottom w:val="single" w:color="166534" w:sz="4"/>
              <w:right w:val="single" w:color="166534" w:sz="4"/>
            </w:tcBorders>
            <w:shd w:fill="DCFCE7" w:val="clear"/>
            <w:tcMar>
              <w:top w:type="dxa" w:w="80"/>
              <w:left w:type="dxa" w:w="160"/>
              <w:bottom w:type="dxa" w:w="80"/>
              <w:right w:type="dxa" w:w="120"/>
            </w:tcMar>
          </w:tcPr>
          <w:p>
            <w:pPr>
              <w:spacing w:after="0"/>
            </w:pPr>
            <w:r>
              <w:rPr>
                <w:rFonts w:ascii="Calibri" w:cs="Calibri" w:eastAsia="Calibri" w:hAnsi="Calibri"/>
                <w:color w:val="374151"/>
                <w:sz w:val="22"/>
                <w:szCs w:val="22"/>
              </w:rPr>
              <w:t xml:space="preserve">Opened by clicking a building bar — shows full building-level operational detail</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Section</w:t>
            </w:r>
          </w:p>
        </w:tc>
        <w:tc>
          <w:tcPr>
            <w:tcW w:type="dxa" w:w="69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Content</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KPI mini-cards (4)</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Total CO₂ | CO₂ per m² | CO₂ per occupant | Area m²</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Source stacked bar</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Monthly bars split by: Electricity (blue) / Diesel (amber) / LPG (green)</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Monthly trend line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12-month CO₂ trend for this building with MoM delta annotation</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Data provenance table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Each month row: kWh value, source tag, confidence rating, last updated</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Close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X button or click outside closes drawer; chart re-enables</w:t>
            </w:r>
          </w:p>
        </w:tc>
      </w:tr>
    </w:tbl>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Page 3 — Transport</w:t>
      </w:r>
    </w:p>
    <w:p>
      <w:pPr>
        <w:spacing w:after="120"/>
      </w:pPr>
      <w:r>
        <w:rPr>
          <w:rFonts w:ascii="Calibri" w:cs="Calibri" w:eastAsia="Calibri" w:hAnsi="Calibri"/>
          <w:sz w:val="22"/>
          <w:szCs w:val="22"/>
        </w:rPr>
        <w:t xml:space="preserve">Commute is often the second-largest campus emissions source. This page breaks down modal split, targets for intervention, and compares student vs staff commute patterns.</w:t>
      </w:r>
    </w:p>
    <w:p>
      <w:pPr>
        <w:spacing w:after="80"/>
      </w:pPr>
      <w:r>
        <w:rPr>
          <w:rFonts w:ascii="Calibri" w:cs="Calibri" w:eastAsia="Calibri" w:hAnsi="Calibri"/>
          <w:sz w:val="22"/>
          <w:szCs w:val="22"/>
        </w:rPr>
        <w:t xml:space="preserve"/>
      </w:r>
    </w:p>
    <w:p>
      <w:pPr>
        <w:pStyle w:val="Heading3"/>
        <w:spacing w:before="240" w:after="120"/>
      </w:pPr>
      <w:r>
        <w:rPr>
          <w:rFonts w:ascii="Calibri" w:cs="Calibri" w:eastAsia="Calibri" w:hAnsi="Calibri"/>
          <w:b/>
          <w:bCs/>
          <w:color w:val="374151"/>
          <w:sz w:val="24"/>
          <w:szCs w:val="24"/>
        </w:rPr>
        <w:t xml:space="preserve">3.3.F  Transport Emissions Breakdown — Multi-chart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tcPr>
          <w:p>
            <w:pPr>
              <w:spacing w:after="0"/>
              <w:jc w:val="center"/>
            </w:pPr>
            <w:r>
              <w:rPr>
                <w:rFonts w:ascii="Calibri" w:cs="Calibri" w:eastAsia="Calibri" w:hAnsi="Calibri"/>
                <w:b/>
                <w:bCs/>
                <w:color w:val="FFFFFF"/>
                <w:sz w:val="18"/>
                <w:szCs w:val="18"/>
              </w:rPr>
              <w:t xml:space="preserve">VIZ F</w:t>
            </w:r>
          </w:p>
        </w:tc>
        <w:tc>
          <w:tcPr>
            <w:tcW w:type="dxa" w:w="8960"/>
            <w:tcBorders>
              <w:top w:val="single" w:color="D97706" w:sz="4"/>
              <w:left w:val="single" w:color="D97706" w:sz="4"/>
              <w:bottom w:val="single" w:color="D97706" w:sz="4"/>
              <w:right w:val="single" w:color="D97706" w:sz="4"/>
            </w:tcBorders>
            <w:shd w:fill="FFFBEB" w:val="clear"/>
            <w:tcMar>
              <w:top w:type="dxa" w:w="80"/>
              <w:left w:type="dxa" w:w="160"/>
              <w:bottom w:type="dxa" w:w="80"/>
              <w:right w:type="dxa" w:w="120"/>
            </w:tcMar>
          </w:tcPr>
          <w:p>
            <w:pPr>
              <w:spacing w:after="0"/>
            </w:pPr>
            <w:r>
              <w:rPr>
                <w:rFonts w:ascii="Calibri" w:cs="Calibri" w:eastAsia="Calibri" w:hAnsi="Calibri"/>
                <w:color w:val="374151"/>
                <w:sz w:val="22"/>
                <w:szCs w:val="22"/>
              </w:rPr>
              <w:t xml:space="preserve">Donut chart + bar chart + grouped comparison — full modal-split analysis</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Sub-chart</w:t>
            </w:r>
          </w:p>
        </w:tc>
        <w:tc>
          <w:tcPr>
            <w:tcW w:type="dxa" w:w="1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51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Purpose</w:t>
            </w:r>
          </w:p>
        </w:tc>
      </w:tr>
      <w:tr>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pPr>
              <w:spacing w:after="0"/>
            </w:pPr>
            <w:r>
              <w:rPr>
                <w:rFonts w:ascii="Calibri" w:cs="Calibri" w:eastAsia="Calibri" w:hAnsi="Calibri"/>
                <w:color w:val="D97706"/>
                <w:sz w:val="22"/>
                <w:szCs w:val="22"/>
              </w:rPr>
              <w:t xml:space="preserve">Modal CO₂ share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Donut / Pie chart</w:t>
            </w:r>
          </w:p>
        </w:tc>
        <w:tc>
          <w:tcPr>
            <w:tcW w:type="dxa" w:w="5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Instant visual of which mode dominates emissions (car = largest slice)</w:t>
            </w:r>
          </w:p>
        </w:tc>
      </w:tr>
      <w:tr>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pPr>
              <w:spacing w:after="0"/>
            </w:pPr>
            <w:r>
              <w:rPr>
                <w:rFonts w:ascii="Calibri" w:cs="Calibri" w:eastAsia="Calibri" w:hAnsi="Calibri"/>
                <w:color w:val="D97706"/>
                <w:sz w:val="22"/>
                <w:szCs w:val="22"/>
              </w:rPr>
              <w:t xml:space="preserve">CO₂ by mode (absolute)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Vertical bar chart</w:t>
            </w:r>
          </w:p>
        </w:tc>
        <w:tc>
          <w:tcPr>
            <w:tcW w:type="dxa" w:w="5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Exact kg CO₂ per mode, sorted descending, with EF annotation</w:t>
            </w:r>
          </w:p>
        </w:tc>
      </w:tr>
      <w:tr>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pPr>
              <w:spacing w:after="0"/>
            </w:pPr>
            <w:r>
              <w:rPr>
                <w:rFonts w:ascii="Calibri" w:cs="Calibri" w:eastAsia="Calibri" w:hAnsi="Calibri"/>
                <w:color w:val="D97706"/>
                <w:sz w:val="22"/>
                <w:szCs w:val="22"/>
              </w:rPr>
              <w:t xml:space="preserve">Distance vs Emissions</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Grouped bar chart (dual Y-axis)</w:t>
            </w:r>
          </w:p>
        </w:tc>
        <w:tc>
          <w:tcPr>
            <w:tcW w:type="dxa" w:w="5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Shows km travelled vs CO₂ — reveals high-distance/low-emission modes</w:t>
            </w:r>
          </w:p>
        </w:tc>
      </w:tr>
      <w:tr>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pPr>
              <w:spacing w:after="0"/>
            </w:pPr>
            <w:r>
              <w:rPr>
                <w:rFonts w:ascii="Calibri" w:cs="Calibri" w:eastAsia="Calibri" w:hAnsi="Calibri"/>
                <w:color w:val="D97706"/>
                <w:sz w:val="22"/>
                <w:szCs w:val="22"/>
              </w:rPr>
              <w:t xml:space="preserve">Per-person average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KPI chip per mode</w:t>
            </w:r>
          </w:p>
        </w:tc>
        <w:tc>
          <w:tcPr>
            <w:tcW w:type="dxa" w:w="5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Average CO₂ per commuter per month for each mode</w:t>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Cohort filter: </w:t>
      </w:r>
      <w:r>
        <w:rPr>
          <w:rFonts w:ascii="Calibri" w:cs="Calibri" w:eastAsia="Calibri" w:hAnsi="Calibri"/>
          <w:sz w:val="22"/>
          <w:szCs w:val="22"/>
        </w:rPr>
        <w:t xml:space="preserve">Buttons to switch between All / Students / Staff. Recalculates all transport charts for the selected cohort.</w:t>
      </w:r>
    </w:p>
    <w:p>
      <w:pPr>
        <w:spacing w:after="120"/>
      </w:pPr>
      <w:r>
        <w:rPr>
          <w:rFonts w:ascii="Calibri" w:cs="Calibri" w:eastAsia="Calibri" w:hAnsi="Calibri"/>
          <w:b/>
          <w:bCs/>
          <w:sz w:val="22"/>
          <w:szCs w:val="22"/>
        </w:rPr>
        <w:t xml:space="preserve">Data inputs: </w:t>
      </w:r>
      <w:r>
        <w:rPr>
          <w:rFonts w:ascii="Calibri" w:cs="Calibri" w:eastAsia="Calibri" w:hAnsi="Calibri"/>
          <w:sz w:val="22"/>
          <w:szCs w:val="22"/>
        </w:rPr>
        <w:t xml:space="preserve">mode, total_distance_km_by_mode, fuel_liters_by_mode, passenger_count, fuel_type, mileage_km_per_L, EF_mode</w:t>
      </w:r>
    </w:p>
    <w:p>
      <w:pPr>
        <w:spacing w:after="80"/>
      </w:pPr>
      <w:r>
        <w:rPr>
          <w:rFonts w:ascii="Calibri" w:cs="Calibri" w:eastAsia="Calibri" w:hAnsi="Calibri"/>
          <w:sz w:val="22"/>
          <w:szCs w:val="22"/>
        </w:rPr>
        <w:t xml:space="preserve"/>
      </w:r>
    </w:p>
    <w:p>
      <w:pPr>
        <w:pStyle w:val="Heading3"/>
        <w:spacing w:before="240" w:after="120"/>
      </w:pPr>
      <w:r>
        <w:rPr>
          <w:rFonts w:ascii="Calibri" w:cs="Calibri" w:eastAsia="Calibri" w:hAnsi="Calibri"/>
          <w:b/>
          <w:bCs/>
          <w:color w:val="374151"/>
          <w:sz w:val="24"/>
          <w:szCs w:val="24"/>
        </w:rPr>
        <w:t xml:space="preserve">3.3.G  Commute Flow Map — Optional (if geo data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tcPr>
          <w:p>
            <w:pPr>
              <w:spacing w:after="0"/>
              <w:jc w:val="center"/>
            </w:pPr>
            <w:r>
              <w:rPr>
                <w:rFonts w:ascii="Calibri" w:cs="Calibri" w:eastAsia="Calibri" w:hAnsi="Calibri"/>
                <w:b/>
                <w:bCs/>
                <w:color w:val="FFFFFF"/>
                <w:sz w:val="18"/>
                <w:szCs w:val="18"/>
              </w:rPr>
              <w:t xml:space="preserve">VIZ G</w:t>
            </w:r>
          </w:p>
        </w:tc>
        <w:tc>
          <w:tcPr>
            <w:tcW w:type="dxa" w:w="8960"/>
            <w:tcBorders>
              <w:top w:val="single" w:color="D97706" w:sz="4"/>
              <w:left w:val="single" w:color="D97706" w:sz="4"/>
              <w:bottom w:val="single" w:color="D97706" w:sz="4"/>
              <w:right w:val="single" w:color="D97706" w:sz="4"/>
            </w:tcBorders>
            <w:shd w:fill="FFFBEB" w:val="clear"/>
            <w:tcMar>
              <w:top w:type="dxa" w:w="80"/>
              <w:left w:type="dxa" w:w="160"/>
              <w:bottom w:type="dxa" w:w="80"/>
              <w:right w:type="dxa" w:w="120"/>
            </w:tcMar>
          </w:tcPr>
          <w:p>
            <w:pPr>
              <w:spacing w:after="0"/>
            </w:pPr>
            <w:r>
              <w:rPr>
                <w:rFonts w:ascii="Calibri" w:cs="Calibri" w:eastAsia="Calibri" w:hAnsi="Calibri"/>
                <w:color w:val="374151"/>
                <w:sz w:val="22"/>
                <w:szCs w:val="22"/>
              </w:rPr>
              <w:t xml:space="preserve">Choropleth map / Sankey flow showing commuter origin regions and their modal split</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Attribute</w:t>
            </w:r>
          </w:p>
        </w:tc>
        <w:tc>
          <w:tcPr>
            <w:tcW w:type="dxa" w:w="69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Detail</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Chart type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Choropleth (region → campus emissions density) or Sankey (region → mode → CO₂)</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Data required</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origin_pincode or lat/lon, mode, count, co2_per_commuter</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Click interaction</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Click a region → popup showing: # commuters, modal split, total CO₂ from that region</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Fallback</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If geo data not available, replace with a simple bar chart of top-5 origin zones</w:t>
            </w:r>
          </w:p>
        </w:tc>
      </w:tr>
    </w:tbl>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Page 4 — Waste</w:t>
      </w:r>
    </w:p>
    <w:p>
      <w:pPr>
        <w:spacing w:after="120"/>
      </w:pPr>
      <w:r>
        <w:rPr>
          <w:rFonts w:ascii="Calibri" w:cs="Calibri" w:eastAsia="Calibri" w:hAnsi="Calibri"/>
          <w:sz w:val="22"/>
          <w:szCs w:val="22"/>
        </w:rPr>
        <w:t xml:space="preserve">Waste is Scope 3 and often underestimated. This page shows the composition of the waste stream, its CO₂e consequence, and importantly — the impact of increasing diversion from landfill through composting and recycling.</w:t>
      </w:r>
    </w:p>
    <w:p>
      <w:pPr>
        <w:spacing w:after="80"/>
      </w:pPr>
      <w:r>
        <w:rPr>
          <w:rFonts w:ascii="Calibri" w:cs="Calibri" w:eastAsia="Calibri" w:hAnsi="Calibri"/>
          <w:sz w:val="22"/>
          <w:szCs w:val="22"/>
        </w:rPr>
        <w:t xml:space="preserve"/>
      </w:r>
    </w:p>
    <w:p>
      <w:pPr>
        <w:pStyle w:val="Heading3"/>
        <w:spacing w:before="240" w:after="120"/>
      </w:pPr>
      <w:r>
        <w:rPr>
          <w:rFonts w:ascii="Calibri" w:cs="Calibri" w:eastAsia="Calibri" w:hAnsi="Calibri"/>
          <w:b/>
          <w:bCs/>
          <w:color w:val="374151"/>
          <w:sz w:val="24"/>
          <w:szCs w:val="24"/>
        </w:rPr>
        <w:t xml:space="preserve">3.4.H  Waste Stream Visualizations — Three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7C3AED" w:sz="4"/>
              <w:left w:val="single" w:color="7C3AED" w:sz="4"/>
              <w:bottom w:val="single" w:color="7C3AED" w:sz="4"/>
              <w:right w:val="single" w:color="7C3AED" w:sz="4"/>
            </w:tcBorders>
            <w:shd w:fill="7C3AED" w:val="clear"/>
            <w:tcMar>
              <w:top w:type="dxa" w:w="80"/>
              <w:left w:type="dxa" w:w="120"/>
              <w:bottom w:type="dxa" w:w="80"/>
              <w:right w:type="dxa" w:w="120"/>
            </w:tcMar>
          </w:tcPr>
          <w:p>
            <w:pPr>
              <w:spacing w:after="0"/>
              <w:jc w:val="center"/>
            </w:pPr>
            <w:r>
              <w:rPr>
                <w:rFonts w:ascii="Calibri" w:cs="Calibri" w:eastAsia="Calibri" w:hAnsi="Calibri"/>
                <w:b/>
                <w:bCs/>
                <w:color w:val="FFFFFF"/>
                <w:sz w:val="18"/>
                <w:szCs w:val="18"/>
              </w:rPr>
              <w:t xml:space="preserve">VIZ H</w:t>
            </w:r>
          </w:p>
        </w:tc>
        <w:tc>
          <w:tcPr>
            <w:tcW w:type="dxa" w:w="8960"/>
            <w:tcBorders>
              <w:top w:val="single" w:color="7C3AED" w:sz="4"/>
              <w:left w:val="single" w:color="7C3AED" w:sz="4"/>
              <w:bottom w:val="single" w:color="7C3AED" w:sz="4"/>
              <w:right w:val="single" w:color="7C3AED" w:sz="4"/>
            </w:tcBorders>
            <w:shd w:fill="F5F3FF" w:val="clear"/>
            <w:tcMar>
              <w:top w:type="dxa" w:w="80"/>
              <w:left w:type="dxa" w:w="160"/>
              <w:bottom w:type="dxa" w:w="80"/>
              <w:right w:type="dxa" w:w="120"/>
            </w:tcMar>
          </w:tcPr>
          <w:p>
            <w:pPr>
              <w:spacing w:after="0"/>
            </w:pPr>
            <w:r>
              <w:rPr>
                <w:rFonts w:ascii="Calibri" w:cs="Calibri" w:eastAsia="Calibri" w:hAnsi="Calibri"/>
                <w:color w:val="374151"/>
                <w:sz w:val="22"/>
                <w:szCs w:val="22"/>
              </w:rPr>
              <w:t xml:space="preserve">Stacked area trend + composition donut + what-if slider — full waste emissions picture</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Sub-chart</w:t>
            </w:r>
          </w:p>
        </w:tc>
        <w:tc>
          <w:tcPr>
            <w:tcW w:type="dxa" w:w="1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51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Data inputs</w:t>
            </w:r>
          </w:p>
        </w:tc>
      </w:tr>
      <w:tr>
        <w:tc>
          <w:tcPr>
            <w:tcW w:type="dxa" w:w="2400"/>
            <w:tcBorders>
              <w:top w:val="single" w:color="E5E7EB" w:sz="4"/>
              <w:left w:val="single" w:color="E5E7EB" w:sz="4"/>
              <w:bottom w:val="single" w:color="E5E7EB" w:sz="4"/>
              <w:right w:val="single" w:color="E5E7EB" w:sz="4"/>
            </w:tcBorders>
            <w:shd w:fill="F5F3FF" w:val="clear"/>
            <w:tcMar>
              <w:top w:type="dxa" w:w="80"/>
              <w:left w:type="dxa" w:w="120"/>
              <w:bottom w:type="dxa" w:w="80"/>
              <w:right w:type="dxa" w:w="120"/>
            </w:tcMar>
          </w:tcPr>
          <w:p>
            <w:pPr>
              <w:spacing w:after="0"/>
            </w:pPr>
            <w:r>
              <w:rPr>
                <w:rFonts w:ascii="Calibri" w:cs="Calibri" w:eastAsia="Calibri" w:hAnsi="Calibri"/>
                <w:color w:val="7C3AED"/>
                <w:sz w:val="22"/>
                <w:szCs w:val="22"/>
              </w:rPr>
              <w:t xml:space="preserve">Waste stream trend</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Stacked area chart (monthly)</w:t>
            </w:r>
          </w:p>
        </w:tc>
        <w:tc>
          <w:tcPr>
            <w:tcW w:type="dxa" w:w="5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landfill_kg, recycled_kg, composted_kg, organic_kg per month</w:t>
            </w:r>
          </w:p>
        </w:tc>
      </w:tr>
      <w:tr>
        <w:tc>
          <w:tcPr>
            <w:tcW w:type="dxa" w:w="2400"/>
            <w:tcBorders>
              <w:top w:val="single" w:color="E5E7EB" w:sz="4"/>
              <w:left w:val="single" w:color="E5E7EB" w:sz="4"/>
              <w:bottom w:val="single" w:color="E5E7EB" w:sz="4"/>
              <w:right w:val="single" w:color="E5E7EB" w:sz="4"/>
            </w:tcBorders>
            <w:shd w:fill="F5F3FF" w:val="clear"/>
            <w:tcMar>
              <w:top w:type="dxa" w:w="80"/>
              <w:left w:type="dxa" w:w="120"/>
              <w:bottom w:type="dxa" w:w="80"/>
              <w:right w:type="dxa" w:w="120"/>
            </w:tcMar>
          </w:tcPr>
          <w:p>
            <w:pPr>
              <w:spacing w:after="0"/>
            </w:pPr>
            <w:r>
              <w:rPr>
                <w:rFonts w:ascii="Calibri" w:cs="Calibri" w:eastAsia="Calibri" w:hAnsi="Calibri"/>
                <w:color w:val="7C3AED"/>
                <w:sz w:val="22"/>
                <w:szCs w:val="22"/>
              </w:rPr>
              <w:t xml:space="preserve">Waste composition</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Donut chart</w:t>
            </w:r>
          </w:p>
        </w:tc>
        <w:tc>
          <w:tcPr>
            <w:tcW w:type="dxa" w:w="5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Proportions of each stream for selected month</w:t>
            </w:r>
          </w:p>
        </w:tc>
      </w:tr>
      <w:tr>
        <w:tc>
          <w:tcPr>
            <w:tcW w:type="dxa" w:w="2400"/>
            <w:tcBorders>
              <w:top w:val="single" w:color="E5E7EB" w:sz="4"/>
              <w:left w:val="single" w:color="E5E7EB" w:sz="4"/>
              <w:bottom w:val="single" w:color="E5E7EB" w:sz="4"/>
              <w:right w:val="single" w:color="E5E7EB" w:sz="4"/>
            </w:tcBorders>
            <w:shd w:fill="F5F3FF" w:val="clear"/>
            <w:tcMar>
              <w:top w:type="dxa" w:w="80"/>
              <w:left w:type="dxa" w:w="120"/>
              <w:bottom w:type="dxa" w:w="80"/>
              <w:right w:type="dxa" w:w="120"/>
            </w:tcMar>
          </w:tcPr>
          <w:p>
            <w:pPr>
              <w:spacing w:after="0"/>
            </w:pPr>
            <w:r>
              <w:rPr>
                <w:rFonts w:ascii="Calibri" w:cs="Calibri" w:eastAsia="Calibri" w:hAnsi="Calibri"/>
                <w:color w:val="7C3AED"/>
                <w:sz w:val="22"/>
                <w:szCs w:val="22"/>
              </w:rPr>
              <w:t xml:space="preserve">Stream-to-CO₂ bar</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Grouped bar</w:t>
            </w:r>
          </w:p>
        </w:tc>
        <w:tc>
          <w:tcPr>
            <w:tcW w:type="dxa" w:w="5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kg waste per stream → CO₂e per stream (shows EF applied)</w:t>
            </w:r>
          </w:p>
        </w:tc>
      </w:tr>
      <w:tr>
        <w:tc>
          <w:tcPr>
            <w:tcW w:type="dxa" w:w="2400"/>
            <w:tcBorders>
              <w:top w:val="single" w:color="E5E7EB" w:sz="4"/>
              <w:left w:val="single" w:color="E5E7EB" w:sz="4"/>
              <w:bottom w:val="single" w:color="E5E7EB" w:sz="4"/>
              <w:right w:val="single" w:color="E5E7EB" w:sz="4"/>
            </w:tcBorders>
            <w:shd w:fill="F5F3FF" w:val="clear"/>
            <w:tcMar>
              <w:top w:type="dxa" w:w="80"/>
              <w:left w:type="dxa" w:w="120"/>
              <w:bottom w:type="dxa" w:w="80"/>
              <w:right w:type="dxa" w:w="120"/>
            </w:tcMar>
          </w:tcPr>
          <w:p>
            <w:pPr>
              <w:spacing w:after="0"/>
            </w:pPr>
            <w:r>
              <w:rPr>
                <w:rFonts w:ascii="Calibri" w:cs="Calibri" w:eastAsia="Calibri" w:hAnsi="Calibri"/>
                <w:color w:val="7C3AED"/>
                <w:sz w:val="22"/>
                <w:szCs w:val="22"/>
              </w:rPr>
              <w:t xml:space="preserve">What-if composting slider</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Line + shaded area</w:t>
            </w:r>
          </w:p>
        </w:tc>
        <w:tc>
          <w:tcPr>
            <w:tcW w:type="dxa" w:w="5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Adjustable % composting increase → CO₂e saved displayed live</w:t>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What-If Interaction Logic: </w:t>
      </w:r>
      <w:r>
        <w:rPr>
          <w:rFonts w:ascii="Calibri" w:cs="Calibri" w:eastAsia="Calibri" w:hAnsi="Calibri"/>
          <w:sz w:val="22"/>
          <w:szCs w:val="22"/>
        </w:rPr>
        <w:t xml:space="preserve">Slider input = compost_boost_pct (0–80%). Calculation: new_composted = composted + composted×(boost/100); new_landfill = landfill − composted×(boost/100); saved_co2e = (original_landfill − new_landfill) × EF_landfill. Saved CO₂e displayed as a green KPI callout box.</w:t>
      </w:r>
    </w:p>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Page 5 — Scenario Planner</w:t>
      </w:r>
    </w:p>
    <w:p>
      <w:pPr>
        <w:spacing w:after="120"/>
      </w:pPr>
      <w:r>
        <w:rPr>
          <w:rFonts w:ascii="Calibri" w:cs="Calibri" w:eastAsia="Calibri" w:hAnsi="Calibri"/>
          <w:sz w:val="22"/>
          <w:szCs w:val="22"/>
        </w:rPr>
        <w:t xml:space="preserve">A forward-looking tool for leadership to model the CO₂e impact of planned sustainability interventions before committing resources.</w:t>
      </w:r>
    </w:p>
    <w:p>
      <w:pPr>
        <w:spacing w:after="80"/>
      </w:pPr>
      <w:r>
        <w:rPr>
          <w:rFonts w:ascii="Calibri" w:cs="Calibri" w:eastAsia="Calibri" w:hAnsi="Calibri"/>
          <w:sz w:val="22"/>
          <w:szCs w:val="22"/>
        </w:rPr>
        <w:t xml:space="preserve"/>
      </w:r>
    </w:p>
    <w:p>
      <w:pPr>
        <w:pStyle w:val="Heading3"/>
        <w:spacing w:before="240" w:after="120"/>
      </w:pPr>
      <w:r>
        <w:rPr>
          <w:rFonts w:ascii="Calibri" w:cs="Calibri" w:eastAsia="Calibri" w:hAnsi="Calibri"/>
          <w:b/>
          <w:bCs/>
          <w:color w:val="374151"/>
          <w:sz w:val="24"/>
          <w:szCs w:val="24"/>
        </w:rPr>
        <w:t xml:space="preserve">3.5.L  Scenario Visualizer — Intervention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tcPr>
          <w:p>
            <w:pPr>
              <w:spacing w:after="0"/>
              <w:jc w:val="center"/>
            </w:pPr>
            <w:r>
              <w:rPr>
                <w:rFonts w:ascii="Calibri" w:cs="Calibri" w:eastAsia="Calibri" w:hAnsi="Calibri"/>
                <w:b/>
                <w:bCs/>
                <w:color w:val="FFFFFF"/>
                <w:sz w:val="18"/>
                <w:szCs w:val="18"/>
              </w:rPr>
              <w:t xml:space="preserve">VIZ L</w:t>
            </w:r>
          </w:p>
        </w:tc>
        <w:tc>
          <w:tcPr>
            <w:tcW w:type="dxa" w:w="8960"/>
            <w:tcBorders>
              <w:top w:val="single" w:color="DC2626" w:sz="4"/>
              <w:left w:val="single" w:color="DC2626" w:sz="4"/>
              <w:bottom w:val="single" w:color="DC2626" w:sz="4"/>
              <w:right w:val="single" w:color="DC2626" w:sz="4"/>
            </w:tcBorders>
            <w:shd w:fill="FEF2F2" w:val="clear"/>
            <w:tcMar>
              <w:top w:type="dxa" w:w="80"/>
              <w:left w:type="dxa" w:w="160"/>
              <w:bottom w:type="dxa" w:w="80"/>
              <w:right w:type="dxa" w:w="120"/>
            </w:tcMar>
          </w:tcPr>
          <w:p>
            <w:pPr>
              <w:spacing w:after="0"/>
            </w:pPr>
            <w:r>
              <w:rPr>
                <w:rFonts w:ascii="Calibri" w:cs="Calibri" w:eastAsia="Calibri" w:hAnsi="Calibri"/>
                <w:color w:val="374151"/>
                <w:sz w:val="22"/>
                <w:szCs w:val="22"/>
              </w:rPr>
              <w:t xml:space="preserve">Baseline vs projected line chart with shaded savings area — shows ROI of sustainability interventions</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c>
          <w:tcPr>
            <w:tcW w:type="dxa" w:w="2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Intervention Slider</w:t>
            </w:r>
          </w:p>
        </w:tc>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Affects</w:t>
            </w:r>
          </w:p>
        </w:tc>
        <w:tc>
          <w:tcPr>
            <w:tcW w:type="dxa" w:w="41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Calculation applied</w:t>
            </w:r>
          </w:p>
        </w:tc>
      </w:tr>
      <w:tr>
        <w:tc>
          <w:tcPr>
            <w:tcW w:type="dxa" w:w="2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pPr>
              <w:spacing w:after="0"/>
            </w:pPr>
            <w:r>
              <w:rPr>
                <w:rFonts w:ascii="Calibri" w:cs="Calibri" w:eastAsia="Calibri" w:hAnsi="Calibri"/>
                <w:color w:val="DC2626"/>
                <w:sz w:val="22"/>
                <w:szCs w:val="22"/>
              </w:rPr>
              <w:t xml:space="preserve">Solar Offset (%)</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Energy CO₂e (Scope 2)</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energy_co2e × (1 − solar_pct/100) from month 3 onward</w:t>
            </w:r>
          </w:p>
        </w:tc>
      </w:tr>
      <w:tr>
        <w:tc>
          <w:tcPr>
            <w:tcW w:type="dxa" w:w="2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pPr>
              <w:spacing w:after="0"/>
            </w:pPr>
            <w:r>
              <w:rPr>
                <w:rFonts w:ascii="Calibri" w:cs="Calibri" w:eastAsia="Calibri" w:hAnsi="Calibri"/>
                <w:color w:val="DC2626"/>
                <w:sz w:val="22"/>
                <w:szCs w:val="22"/>
              </w:rPr>
              <w:t xml:space="preserve">Fuel Reduction (%)</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Diesel + Petrol (Scope 1/3)</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fuel_co2e × (1 − fuel_pct/100) applied to transport + generators</w:t>
            </w:r>
          </w:p>
        </w:tc>
      </w:tr>
      <w:tr>
        <w:tc>
          <w:tcPr>
            <w:tcW w:type="dxa" w:w="2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pPr>
              <w:spacing w:after="0"/>
            </w:pPr>
            <w:r>
              <w:rPr>
                <w:rFonts w:ascii="Calibri" w:cs="Calibri" w:eastAsia="Calibri" w:hAnsi="Calibri"/>
                <w:color w:val="DC2626"/>
                <w:sz w:val="22"/>
                <w:szCs w:val="22"/>
              </w:rPr>
              <w:t xml:space="preserve">EV Adoption (%)</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Transport CO₂e (Scope 3)</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car_co2e × (1 − ev_pct/100 × EF_ev/EF_petrol ratio)</w:t>
            </w:r>
          </w:p>
        </w:tc>
      </w:tr>
      <w:tr>
        <w:tc>
          <w:tcPr>
            <w:tcW w:type="dxa" w:w="2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pPr>
              <w:spacing w:after="0"/>
            </w:pPr>
            <w:r>
              <w:rPr>
                <w:rFonts w:ascii="Calibri" w:cs="Calibri" w:eastAsia="Calibri" w:hAnsi="Calibri"/>
                <w:color w:val="DC2626"/>
                <w:sz w:val="22"/>
                <w:szCs w:val="22"/>
              </w:rPr>
              <w:t xml:space="preserve">Composting Boost (%)</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Waste CO₂e (Scope 3)</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landfill_co2e × (1 − compost_pct/100) from next month</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c>
          <w:tcPr>
            <w:tcW w:type="dxa" w:w="36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Output metric</w:t>
            </w:r>
          </w:p>
        </w:tc>
        <w:tc>
          <w:tcPr>
            <w:tcW w:type="dxa" w:w="57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Display</w:t>
            </w:r>
          </w:p>
        </w:tc>
      </w:tr>
      <w:tr>
        <w:tc>
          <w:tcPr>
            <w:tcW w:type="dxa" w:w="3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Monthly CO₂e saving</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KPI box — kg or t CO₂e saved vs baseline in final month</w:t>
            </w:r>
          </w:p>
        </w:tc>
      </w:tr>
      <w:tr>
        <w:tc>
          <w:tcPr>
            <w:tcW w:type="dxa" w:w="3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 reduction</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KPI percentage — saving / baseline × 100</w:t>
            </w:r>
          </w:p>
        </w:tc>
      </w:tr>
      <w:tr>
        <w:tc>
          <w:tcPr>
            <w:tcW w:type="dxa" w:w="3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Projected line chart</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Baseline (dashed red) vs custom intervention (solid green) over 9 months</w:t>
            </w:r>
          </w:p>
        </w:tc>
      </w:tr>
      <w:tr>
        <w:tc>
          <w:tcPr>
            <w:tcW w:type="dxa" w:w="3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Shaded area between lines</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Visual representation of cumulative saving — fills green</w:t>
            </w:r>
          </w:p>
        </w:tc>
      </w:tr>
      <w:tr>
        <w:tc>
          <w:tcPr>
            <w:tcW w:type="dxa" w:w="3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Comparison bar (multi-scenario)</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Side-by-side vertical bars for up to 3 saved scenarios</w:t>
            </w:r>
          </w:p>
        </w:tc>
      </w:tr>
    </w:tbl>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Page 6 — Settings &amp; Assumptions</w:t>
      </w:r>
    </w:p>
    <w:p>
      <w:pPr>
        <w:spacing w:after="120"/>
      </w:pPr>
      <w:r>
        <w:rPr>
          <w:rFonts w:ascii="Calibri" w:cs="Calibri" w:eastAsia="Calibri" w:hAnsi="Calibri"/>
          <w:sz w:val="22"/>
          <w:szCs w:val="22"/>
        </w:rPr>
        <w:t xml:space="preserve">Transparency and auditability are essential for stakeholder trust. This page exposes every assumption the dashboard makes so reviewers and auditors can validate all numbers.</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Section</w:t>
            </w:r>
          </w:p>
        </w:tc>
        <w:tc>
          <w:tcPr>
            <w:tcW w:type="dxa" w:w="69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Contents</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Emission Factors Table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Full table: source, factor value, unit, scope, authority/source reference — all editable by admin</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Data Confidence Legend</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Green dot = High (metered/billed) | Amber = Medium (survey) | Red = Low (estimated)</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Data Source Tags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meter | bill | survey | log | estimate — definitions and when each is applied</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Missing Data Policy</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1 month gap → interpolate from prev 3 avg. No meter → area × intensity estimate (marked *)</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Scope Inclusion</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Checklist of what is included/excluded in Scope 1, 2, 3 for this campus</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GWP Values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CH₄ = 28, N₂O = 265 (100-year, AR6) — editable for regional authority compliance</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Campus Constants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Total students, staff headcount, total built area m² — used for per-capita KPIs</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Audit Log</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Table of last 20 data edits: field, old value, new value, changed by, timestamp</w:t>
            </w:r>
          </w:p>
        </w:tc>
      </w:tr>
    </w:tbl>
    <w:p>
      <w:pPr>
        <w:spacing w:after="0"/>
      </w:pPr>
      <w:r>
        <w:br w:type="page"/>
      </w:r>
    </w:p>
    <w:p>
      <w:pPr>
        <w:pStyle w:val="Heading1"/>
        <w:pBdr>
          <w:bottom w:val="single" w:color="16A34A" w:sz="6" w:space="4"/>
        </w:pBdr>
        <w:spacing w:before="480" w:after="200"/>
      </w:pPr>
      <w:r>
        <w:rPr>
          <w:rFonts w:ascii="Calibri" w:cs="Calibri" w:eastAsia="Calibri" w:hAnsi="Calibri"/>
          <w:b/>
          <w:bCs/>
          <w:color w:val="111827"/>
          <w:sz w:val="40"/>
          <w:szCs w:val="40"/>
        </w:rPr>
        <w:t xml:space="preserve">4. Complete Interaction Flow Map</w:t>
      </w:r>
    </w:p>
    <w:p>
      <w:pPr>
        <w:spacing w:after="120"/>
      </w:pPr>
      <w:r>
        <w:rPr>
          <w:rFonts w:ascii="Calibri" w:cs="Calibri" w:eastAsia="Calibri" w:hAnsi="Calibri"/>
          <w:sz w:val="22"/>
          <w:szCs w:val="22"/>
        </w:rPr>
        <w:t xml:space="preserve">This section documents every interactive element across the dashboard, what triggers it, and what happens as a result. All interactions are wired in the React state layer with no page reload.</w:t>
      </w:r>
    </w:p>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4.1  Global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c>
          <w:tcPr>
            <w:tcW w:type="dxa" w:w="30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User Action</w:t>
            </w:r>
          </w:p>
        </w:tc>
        <w:tc>
          <w:tcPr>
            <w:tcW w:type="dxa" w:w="1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Trigger</w:t>
            </w:r>
          </w:p>
        </w:tc>
        <w:tc>
          <w:tcPr>
            <w:tcW w:type="dxa" w:w="45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System Response</w:t>
            </w:r>
          </w:p>
        </w:tc>
      </w:tr>
      <w:tr>
        <w:tc>
          <w:tcPr>
            <w:tcW w:type="dxa" w:w="3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Select period (e.g. Feb 2026)</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Dropdown select</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All charts re-fetch filtered data; KPI tiles animate numbers; MoM badges recalculate</w:t>
            </w:r>
          </w:p>
        </w:tc>
      </w:tr>
      <w:tr>
        <w:tc>
          <w:tcPr>
            <w:tcW w:type="dxa" w:w="3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Toggle kg ⇄ tonnes</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Button click</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All numeric displays divide by 1,000; axis labels update; no chart re-render needed</w:t>
            </w:r>
          </w:p>
        </w:tc>
      </w:tr>
      <w:tr>
        <w:tc>
          <w:tcPr>
            <w:tcW w:type="dxa" w:w="3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Toggle Category ⇄ Scope view</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Button click</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Chart colors remap to scope palette; legend labels change to Scope 1/2/3; annotations update</w:t>
            </w:r>
          </w:p>
        </w:tc>
      </w:tr>
      <w:tr>
        <w:tc>
          <w:tcPr>
            <w:tcW w:type="dxa" w:w="3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Click Export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Button click</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Modal opens with options: PNG chart, CSV data, PDF page report</w:t>
            </w:r>
          </w:p>
        </w:tc>
      </w:tr>
      <w:tr>
        <w:tc>
          <w:tcPr>
            <w:tcW w:type="dxa" w:w="3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Click page in sidebar nav</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Button click</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Smooth page transition; breadcrumb updates; URL path changes for shareable links</w:t>
            </w:r>
          </w:p>
        </w:tc>
      </w:tr>
    </w:tbl>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4.2  Overview Page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c>
          <w:tcPr>
            <w:tcW w:type="dxa" w:w="30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Element</w:t>
            </w:r>
          </w:p>
        </w:tc>
        <w:tc>
          <w:tcPr>
            <w:tcW w:type="dxa" w:w="1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Action</w:t>
            </w:r>
          </w:p>
        </w:tc>
        <w:tc>
          <w:tcPr>
            <w:tcW w:type="dxa" w:w="45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Result</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KPI tile (any)</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Click</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Navigate to corresponding category page; metric pre-highlighted in green</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KPI tile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Hover</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Tooltip: data source, confidence level, period, last updated timestamp</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Trend area chart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Hover data point</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Vertical crosshair; tooltip shows all 3 category values for that month</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Category stacked area</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Click legend item</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Toggle that category layer on/off; other layers auto-rescale</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Normalize button</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Click</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Stacked area switches between absolute kg ↔ 100% share view with smooth animation</w:t>
            </w:r>
          </w:p>
        </w:tc>
      </w:tr>
    </w:tbl>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4.3  Energy Page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c>
          <w:tcPr>
            <w:tcW w:type="dxa" w:w="30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Element</w:t>
            </w:r>
          </w:p>
        </w:tc>
        <w:tc>
          <w:tcPr>
            <w:tcW w:type="dxa" w:w="1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Action</w:t>
            </w:r>
          </w:p>
        </w:tc>
        <w:tc>
          <w:tcPr>
            <w:tcW w:type="dxa" w:w="45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Result</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Building bar (horizontal bar chart)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Click</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Right-side drilldown drawer opens with: 4 mini KPIs + monthly stacked bar + source table</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Building bar</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Hover</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Tooltip: kWh, CO₂, CO₂/m², CO₂/occupant, data source badge</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Drilldown drawer</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Click X or outside</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Drawer closes; chart returns to full view</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Heatmap cell</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Hover</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Tooltip: exact kWh value, month, MoM change %, source tag</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Sort control (heatmap)</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Click header</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Rows re-sort by: total / peak month / building name</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Estimated bar (*)</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Hover asterisk</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Tooltip explains interpolation method used for this building</w:t>
            </w:r>
          </w:p>
        </w:tc>
      </w:tr>
    </w:tbl>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4.4  Transport Page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c>
          <w:tcPr>
            <w:tcW w:type="dxa" w:w="30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Element</w:t>
            </w:r>
          </w:p>
        </w:tc>
        <w:tc>
          <w:tcPr>
            <w:tcW w:type="dxa" w:w="1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Action</w:t>
            </w:r>
          </w:p>
        </w:tc>
        <w:tc>
          <w:tcPr>
            <w:tcW w:type="dxa" w:w="45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Result</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Cohort filter (All/Students/Staff)</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Click button</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All transport charts recalculate for selected cohort; totals update</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Donut pie slice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Click</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Highlights that mode in bar chart; filters distance chart; shows per-person KPI</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Mode bar</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Hover</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Shows: total CO₂, km traveled, avg CO₂/person, EF used</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Dual-axis bar (distance vs CO₂)</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Hover</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Crosshair tooltip for both Y-axes simultaneously</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Map region (if geo enabled)</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Click</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Popup: commuter count, modal split %, and total CO₂ from that region</w:t>
            </w:r>
          </w:p>
        </w:tc>
      </w:tr>
    </w:tbl>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4.5  Waste Page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c>
          <w:tcPr>
            <w:tcW w:type="dxa" w:w="30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Element</w:t>
            </w:r>
          </w:p>
        </w:tc>
        <w:tc>
          <w:tcPr>
            <w:tcW w:type="dxa" w:w="1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Action</w:t>
            </w:r>
          </w:p>
        </w:tc>
        <w:tc>
          <w:tcPr>
            <w:tcW w:type="dxa" w:w="45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Result</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Composting boost slider</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Drag</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Stacked area updates in real-time; CO₂e saved KPI box recalculates instantly</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Donut segment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Click</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Filters stream-to-CO₂ bar to show only that stream; other streams fade</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Stacked area layer</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Click legend</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Toggle waste stream on/off; chart rescales</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What-if reset button</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Click</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Returns slider to 0; charts animate back to baseline</w:t>
            </w:r>
          </w:p>
        </w:tc>
      </w:tr>
    </w:tbl>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4.6  Scenario Planner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c>
          <w:tcPr>
            <w:tcW w:type="dxa" w:w="30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Element</w:t>
            </w:r>
          </w:p>
        </w:tc>
        <w:tc>
          <w:tcPr>
            <w:tcW w:type="dxa" w:w="1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Action</w:t>
            </w:r>
          </w:p>
        </w:tc>
        <w:tc>
          <w:tcPr>
            <w:tcW w:type="dxa" w:w="45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Result</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Any intervention slider</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Drag</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Projected line updates in real-time; shaded savings area redraws; KPIs recalculate</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Save Scenario button</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Click</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Current slider values saved as named scenario; added to comparison bar chart below</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Comparison bar (multi-scenario)</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Hover bar</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Tooltip: scenario name, slider values used, total saving vs baseline</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Reset all sliders</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Click button</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All sliders to 0; projected line collapses to baseline; savings KPI shows 0</w:t>
            </w:r>
          </w:p>
        </w:tc>
      </w:tr>
    </w:tbl>
    <w:p>
      <w:pPr>
        <w:spacing w:after="0"/>
      </w:pPr>
      <w:r>
        <w:br w:type="page"/>
      </w:r>
    </w:p>
    <w:p>
      <w:pPr>
        <w:pStyle w:val="Heading1"/>
        <w:pBdr>
          <w:bottom w:val="single" w:color="16A34A" w:sz="6" w:space="4"/>
        </w:pBdr>
        <w:spacing w:before="480" w:after="200"/>
      </w:pPr>
      <w:r>
        <w:rPr>
          <w:rFonts w:ascii="Calibri" w:cs="Calibri" w:eastAsia="Calibri" w:hAnsi="Calibri"/>
          <w:b/>
          <w:bCs/>
          <w:color w:val="111827"/>
          <w:sz w:val="40"/>
          <w:szCs w:val="40"/>
        </w:rPr>
        <w:t xml:space="preserve">5. Data Input Schema</w:t>
      </w:r>
    </w:p>
    <w:p>
      <w:pPr>
        <w:spacing w:after="120"/>
      </w:pPr>
      <w:r>
        <w:rPr>
          <w:rFonts w:ascii="Calibri" w:cs="Calibri" w:eastAsia="Calibri" w:hAnsi="Calibri"/>
          <w:sz w:val="22"/>
          <w:szCs w:val="22"/>
        </w:rPr>
        <w:t xml:space="preserve">This section defines every input field required to power the dashboard. Fields are grouped by category matching the calculation framework in the spec.</w:t>
      </w:r>
    </w:p>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5.A  Energy Inputs — Per Building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gridCol w:w="100"/>
        <w:gridCol w:w="100"/>
      </w:tblGrid>
      <w:tr>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 Name</w:t>
            </w:r>
          </w:p>
        </w:tc>
        <w:tc>
          <w:tcPr>
            <w:tcW w:type="dxa" w:w="12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12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Unit</w:t>
            </w:r>
          </w:p>
        </w:tc>
        <w:tc>
          <w:tcPr>
            <w:tcW w:type="dxa" w:w="1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Source</w:t>
            </w:r>
          </w:p>
        </w:tc>
        <w:tc>
          <w:tcPr>
            <w:tcW w:type="dxa" w:w="27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Validation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building_name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string</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fixed</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Non-empty, unique ID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period_start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date</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ISO 8601</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fixed</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Format: YYYY-MM-DD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period_end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date</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ISO 8601</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fixed</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Must be &gt; period_start</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electricity_kwh</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number</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kWh</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bill/meter</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≥0, flag if &gt;30,000 single month</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diesel_liters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number</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litres</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log/receipt</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≥0</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lpg_kg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number</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kg</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log</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≥0</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area_m2</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number</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m²</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fixed constant</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&gt;0, rarely changes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occupants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integer</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count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HR/timetable</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&gt;0</w:t>
            </w:r>
          </w:p>
        </w:tc>
      </w:tr>
    </w:tbl>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5.B  Transport Inputs — Per Cohort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gridCol w:w="100"/>
        <w:gridCol w:w="100"/>
      </w:tblGrid>
      <w:tr>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 Name</w:t>
            </w:r>
          </w:p>
        </w:tc>
        <w:tc>
          <w:tcPr>
            <w:tcW w:type="dxa" w:w="12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12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Unit</w:t>
            </w:r>
          </w:p>
        </w:tc>
        <w:tc>
          <w:tcPr>
            <w:tcW w:type="dxa" w:w="1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Source</w:t>
            </w:r>
          </w:p>
        </w:tc>
        <w:tc>
          <w:tcPr>
            <w:tcW w:type="dxa" w:w="27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Notes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cohort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enum</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survey</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student | staff | visitor</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mode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enum</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survey</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car|bike|bus|walk|e-vehicle|train|auto|carpool</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distance_km</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number</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km/day</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survey</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Average daily one-way distance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trips_per_period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integer</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days/month</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survey</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Working days commuted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mileage_km_per_l</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number</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km/L</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survey</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Only if fuel-based method used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fuel_type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enum</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survey</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petrol|diesel|CNG|electric</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vehicle_fuel_liters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number</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litres</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log</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Alternative to distance method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passenger_count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integer</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people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log</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For buses only — divide total by this</w:t>
            </w:r>
          </w:p>
        </w:tc>
      </w:tr>
    </w:tbl>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5.C  Waste Inputs — Campus-wide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gridCol w:w="100"/>
        <w:gridCol w:w="100"/>
      </w:tblGrid>
      <w:tr>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 Name</w:t>
            </w:r>
          </w:p>
        </w:tc>
        <w:tc>
          <w:tcPr>
            <w:tcW w:type="dxa" w:w="12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12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Unit</w:t>
            </w:r>
          </w:p>
        </w:tc>
        <w:tc>
          <w:tcPr>
            <w:tcW w:type="dxa" w:w="1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Source</w:t>
            </w:r>
          </w:p>
        </w:tc>
        <w:tc>
          <w:tcPr>
            <w:tcW w:type="dxa" w:w="27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Notes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total_waste_kg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number</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kg</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waste log</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Sum of all streams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organic_waste_kg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number</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kg</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waste log</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Food + garden waste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recycled_kg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number</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kg</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waste log</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Paper, plastic, metal, glass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composted_kg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number</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kg</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waste log</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Diverted from landfill</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incinerated_kg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number</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kg</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waste log</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If applicable; separate EF applies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sent_to_landfill_kg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number</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kg</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waste log</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Primary CO₂e source in waste</w:t>
            </w:r>
          </w:p>
        </w:tc>
      </w:tr>
    </w:tbl>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5.E  Campus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gridCol w:w="100"/>
      </w:tblGrid>
      <w:tr>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12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Example value</w:t>
            </w:r>
          </w:p>
        </w:tc>
        <w:tc>
          <w:tcPr>
            <w:tcW w:type="dxa" w:w="33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Used in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total_students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integer</w:t>
            </w:r>
          </w:p>
        </w:tc>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2,800</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Per-capita KPI, transport cohort split</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total_staff</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integer</w:t>
            </w:r>
          </w:p>
        </w:tc>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420</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Per-capita KPI, transport cohort split</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total_built_area_m2</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number</w:t>
            </w:r>
          </w:p>
        </w:tc>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18,200</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CO₂ per m² intensity KPI</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reporting_year</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year</w:t>
            </w:r>
          </w:p>
        </w:tc>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2025–2026</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Year-over-year comparisons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target_co2e_kg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number</w:t>
            </w:r>
          </w:p>
        </w:tc>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450,000</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Benchmark line on trend chart</w:t>
            </w:r>
          </w:p>
        </w:tc>
      </w:tr>
    </w:tbl>
    <w:p>
      <w:pPr>
        <w:spacing w:after="0"/>
      </w:pPr>
      <w:r>
        <w:br w:type="page"/>
      </w:r>
    </w:p>
    <w:p>
      <w:pPr>
        <w:pStyle w:val="Heading1"/>
        <w:pBdr>
          <w:bottom w:val="single" w:color="16A34A" w:sz="6" w:space="4"/>
        </w:pBdr>
        <w:spacing w:before="480" w:after="200"/>
      </w:pPr>
      <w:r>
        <w:rPr>
          <w:rFonts w:ascii="Calibri" w:cs="Calibri" w:eastAsia="Calibri" w:hAnsi="Calibri"/>
          <w:b/>
          <w:bCs/>
          <w:color w:val="111827"/>
          <w:sz w:val="40"/>
          <w:szCs w:val="40"/>
        </w:rPr>
        <w:t xml:space="preserve">6. Key KPI Formulas — Precise Definitions</w:t>
      </w:r>
    </w:p>
    <w:p>
      <w:pPr>
        <w:spacing w:after="120"/>
      </w:pPr>
      <w:r>
        <w:rPr>
          <w:rFonts w:ascii="Calibri" w:cs="Calibri" w:eastAsia="Calibri" w:hAnsi="Calibri"/>
          <w:sz w:val="22"/>
          <w:szCs w:val="22"/>
        </w:rPr>
        <w:t xml:space="preserve">Every KPI displayed on the dashboard uses one of these formulas. No ambiguity. All values in kg CO₂e unless unit toggle switches to tonnes.</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c>
          <w:tcPr>
            <w:tcW w:type="dxa" w:w="2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KPI Name</w:t>
            </w:r>
          </w:p>
        </w:tc>
        <w:tc>
          <w:tcPr>
            <w:tcW w:type="dxa" w:w="40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Formula</w:t>
            </w:r>
          </w:p>
        </w:tc>
        <w:tc>
          <w:tcPr>
            <w:tcW w:type="dxa" w:w="25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Display location</w:t>
            </w:r>
          </w:p>
        </w:tc>
      </w:tr>
      <w:tr>
        <w:tc>
          <w:tcPr>
            <w:tcW w:type="dxa" w:w="2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Total CO₂e (period)</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Σ energy_co2 + transport_co2 + waste_co2 + other_co2</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Overview KPI tile #1</w:t>
            </w:r>
          </w:p>
        </w:tc>
      </w:tr>
      <w:tr>
        <w:tc>
          <w:tcPr>
            <w:tcW w:type="dxa" w:w="2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Energy CO₂e</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electricity_kwh×EF_elec + diesel_l×EF_diesel + lpg_kg×EF_lpg</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Overview KPI tile #2</w:t>
            </w:r>
          </w:p>
        </w:tc>
      </w:tr>
      <w:tr>
        <w:tc>
          <w:tcPr>
            <w:tcW w:type="dxa" w:w="2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Transport CO₂e</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Σ (distance_km × EF_mode) across all modes and commuters</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Overview KPI tile #3</w:t>
            </w:r>
          </w:p>
        </w:tc>
      </w:tr>
      <w:tr>
        <w:tc>
          <w:tcPr>
            <w:tcW w:type="dxa" w:w="2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Waste CO₂e</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landfill_kg×EF_landfill − recycled_kg×EF_credit</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Overview KPI tile #4</w:t>
            </w:r>
          </w:p>
        </w:tc>
      </w:tr>
      <w:tr>
        <w:tc>
          <w:tcPr>
            <w:tcW w:type="dxa" w:w="2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Per Capita CO₂e</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total_co2e ÷ (total_students + total_staff)</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Overview KPI tile #5</w:t>
            </w:r>
          </w:p>
        </w:tc>
      </w:tr>
      <w:tr>
        <w:tc>
          <w:tcPr>
            <w:tcW w:type="dxa" w:w="2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CO₂ per m²</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total_energy_co2 ÷ total_built_area_m2</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Energy page KPI</w:t>
            </w:r>
          </w:p>
        </w:tc>
      </w:tr>
      <w:tr>
        <w:tc>
          <w:tcPr>
            <w:tcW w:type="dxa" w:w="2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Energy % of total</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(energy_co2 ÷ total_co2e) × 100</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Category donut chart</w:t>
            </w:r>
          </w:p>
        </w:tc>
      </w:tr>
      <w:tr>
        <w:tc>
          <w:tcPr>
            <w:tcW w:type="dxa" w:w="2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Transport % of total</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(transport_co2 ÷ total_co2e) × 100</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Category donut chart</w:t>
            </w:r>
          </w:p>
        </w:tc>
      </w:tr>
      <w:tr>
        <w:tc>
          <w:tcPr>
            <w:tcW w:type="dxa" w:w="2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Month-over-Month %</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((current − previous) ÷ previous) × 100</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KPI tile delta badge</w:t>
            </w:r>
          </w:p>
        </w:tc>
      </w:tr>
      <w:tr>
        <w:tc>
          <w:tcPr>
            <w:tcW w:type="dxa" w:w="2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Year-over-Year %</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((this_year − last_year) ÷ last_year) × 100</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Annual trend comparison</w:t>
            </w:r>
          </w:p>
        </w:tc>
      </w:tr>
      <w:tr>
        <w:tc>
          <w:tcPr>
            <w:tcW w:type="dxa" w:w="2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Building CO₂/m²</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building_total_co2 ÷ building_area_m2</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Energy drilldown KPI</w:t>
            </w:r>
          </w:p>
        </w:tc>
      </w:tr>
      <w:tr>
        <w:tc>
          <w:tcPr>
            <w:tcW w:type="dxa" w:w="2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Building CO₂/person</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building_total_co2 ÷ building_occupants</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Energy drilldown KPI</w:t>
            </w:r>
          </w:p>
        </w:tc>
      </w:tr>
      <w:tr>
        <w:tc>
          <w:tcPr>
            <w:tcW w:type="dxa" w:w="2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Waste CO₂e saved (what-if)</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(orig_landfill − new_landfill) × EF_landfill</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Waste what-if KPI box</w:t>
            </w:r>
          </w:p>
        </w:tc>
      </w:tr>
    </w:tbl>
    <w:p>
      <w:pPr>
        <w:spacing w:after="0"/>
      </w:pPr>
      <w:r>
        <w:br w:type="page"/>
      </w:r>
    </w:p>
    <w:p>
      <w:pPr>
        <w:pStyle w:val="Heading1"/>
        <w:pBdr>
          <w:bottom w:val="single" w:color="16A34A" w:sz="6" w:space="4"/>
        </w:pBdr>
        <w:spacing w:before="480" w:after="200"/>
      </w:pPr>
      <w:r>
        <w:rPr>
          <w:rFonts w:ascii="Calibri" w:cs="Calibri" w:eastAsia="Calibri" w:hAnsi="Calibri"/>
          <w:b/>
          <w:bCs/>
          <w:color w:val="111827"/>
          <w:sz w:val="40"/>
          <w:szCs w:val="40"/>
        </w:rPr>
        <w:t xml:space="preserve">7. Recommended Technology Stack</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c>
          <w:tcPr>
            <w:tcW w:type="dxa" w:w="20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Layer</w:t>
            </w:r>
          </w:p>
        </w:tc>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Technology</w:t>
            </w:r>
          </w:p>
        </w:tc>
        <w:tc>
          <w:tcPr>
            <w:tcW w:type="dxa" w:w="49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Reason / Role</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Frontend framework</w:t>
            </w:r>
          </w:p>
        </w:tc>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React 18 + Vite</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Component-based UI; fast HMR; large ecosystem</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Charting</w:t>
            </w:r>
          </w:p>
        </w:tc>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Recharts</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React-native charts; composable; all required chart types included</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Styling</w:t>
            </w:r>
          </w:p>
        </w:tc>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Tailwind CSS</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Utility-first; consistent design tokens; rapid iteration</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State management</w:t>
            </w:r>
          </w:p>
        </w:tc>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Zustand or React Context</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Lightweight global state for period, unit, scope toggles</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Data fetching</w:t>
            </w:r>
          </w:p>
        </w:tc>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React Query (TanStack)</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Caching, background refetch, loading states for API calls</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Routing</w:t>
            </w:r>
          </w:p>
        </w:tc>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React Router v6</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6 pages + drilldown routes; URL state for shareable links</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Map (optional)</w:t>
            </w:r>
          </w:p>
        </w:tc>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Leaflet.js + react-leaflet</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Open-source; choropleth support via GeoJSON layers</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Heatmap</w:t>
            </w:r>
          </w:p>
        </w:tc>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Custom CSS grid table</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Recharts has no native heatmap; custom HTML table with computed bg-color</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Export</w:t>
            </w:r>
          </w:p>
        </w:tc>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html2canvas + jsPDF</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Screenshot charts to PNG; wrap in PDF for report export</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Backend API</w:t>
            </w:r>
          </w:p>
        </w:tc>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Node.js + Express or FastAPI</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REST endpoints for emissions data per category/period</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Database</w:t>
            </w:r>
          </w:p>
        </w:tc>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PostgreSQL</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Relational; handles building × month × source grain well</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Auth (optional)</w:t>
            </w:r>
          </w:p>
        </w:tc>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Clerk or Auth0</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Role-based: Admin (edit EF) vs Viewer (read only)</w:t>
            </w:r>
          </w:p>
        </w:tc>
      </w:tr>
    </w:tbl>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7.1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c>
          <w:tcPr>
            <w:tcW w:type="dxa" w:w="30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Component</w:t>
            </w:r>
          </w:p>
        </w:tc>
        <w:tc>
          <w:tcPr>
            <w:tcW w:type="dxa" w:w="30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Props / State</w:t>
            </w:r>
          </w:p>
        </w:tc>
        <w:tc>
          <w:tcPr>
            <w:tcW w:type="dxa" w:w="33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Child components</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&lt;App /&gt;</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Global state: period, unit, scope, page</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&lt;Sidebar/&gt; &lt;TopBar/&gt; &lt;PageRouter/&gt;</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&lt;TopBar /&gt;</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period, unit, scope, onExport</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&lt;PeriodSelect/&gt; &lt;ScopeToggle/&gt; &lt;UnitToggle/&gt;</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&lt;OverviewPage /&gt;</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period, unit, scope</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&lt;KPIRow/&gt; &lt;TrendChart/&gt; &lt;CategoryStackedArea/&gt;</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&lt;KPIRow /&gt;</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data[], unit</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5× &lt;KPICard/&gt; with delta, badge, conf props</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&lt;EnergyPage /&gt;</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period, selectedBuilding</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&lt;BuildingBar/&gt; &lt;HeatmapTable/&gt; &lt;DrilldownDrawer/&gt;</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&lt;DrilldownDrawer /&gt;</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building, isOpen, onClose</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&lt;MiniKPIs/&gt; &lt;SourceStackedBar/&gt; &lt;ProvenanceTable/&gt;</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&lt;TransportPage /&gt;</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cohort, period</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&lt;ModeDonut/&gt; &lt;ModeBar/&gt; &lt;DistanceVsCO2Bar/&gt;</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&lt;WastePage /&gt;</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period, compostBoost</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&lt;WasteAreaChart/&gt; &lt;WasteDonut/&gt; &lt;WhatIfSlider/&gt;</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&lt;ScenarioPage /&gt;</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interventions{}, savedScenarios[]</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&lt;InterventionControls/&gt; &lt;ProjectionChart/&gt; &lt;CompareBar/&gt;</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&lt;SettingsPage /&gt;</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emissionFactors[], campus{}</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&lt;EFTable/&gt; &lt;ConfidenceLegend/&gt; &lt;AuditLog/&gt;</w:t>
            </w:r>
          </w:p>
        </w:tc>
      </w:tr>
    </w:tbl>
    <w:p>
      <w:pPr>
        <w:spacing w:after="0"/>
      </w:pPr>
      <w:r>
        <w:br w:type="page"/>
      </w:r>
    </w:p>
    <w:p>
      <w:pPr>
        <w:pStyle w:val="Heading1"/>
        <w:pBdr>
          <w:bottom w:val="single" w:color="16A34A" w:sz="6" w:space="4"/>
        </w:pBdr>
        <w:spacing w:before="480" w:after="200"/>
      </w:pPr>
      <w:r>
        <w:rPr>
          <w:rFonts w:ascii="Calibri" w:cs="Calibri" w:eastAsia="Calibri" w:hAnsi="Calibri"/>
          <w:b/>
          <w:bCs/>
          <w:color w:val="111827"/>
          <w:sz w:val="40"/>
          <w:szCs w:val="40"/>
        </w:rPr>
        <w:t xml:space="preserve">8. Complete Visualization Catalog</w:t>
      </w:r>
    </w:p>
    <w:p>
      <w:pPr>
        <w:spacing w:after="120"/>
      </w:pPr>
      <w:r>
        <w:rPr>
          <w:rFonts w:ascii="Calibri" w:cs="Calibri" w:eastAsia="Calibri" w:hAnsi="Calibri"/>
          <w:sz w:val="22"/>
          <w:szCs w:val="22"/>
        </w:rPr>
        <w:t xml:space="preserve">All 12 visualizations from the spec (A through L) mapped to pages, chart types, and priority level.</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gridCol w:w="100"/>
        <w:gridCol w:w="100"/>
        <w:gridCol w:w="100"/>
      </w:tblGrid>
      <w:tr>
        <w:tc>
          <w:tcPr>
            <w:tcW w:type="dxa" w:w="6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Ref</w:t>
            </w:r>
          </w:p>
        </w:tc>
        <w:tc>
          <w:tcPr>
            <w:tcW w:type="dxa" w:w="22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Visualization</w:t>
            </w:r>
          </w:p>
        </w:tc>
        <w:tc>
          <w:tcPr>
            <w:tcW w:type="dxa" w:w="1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Chart Type</w:t>
            </w:r>
          </w:p>
        </w:tc>
        <w:tc>
          <w:tcPr>
            <w:tcW w:type="dxa" w:w="1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Page</w:t>
            </w:r>
          </w:p>
        </w:tc>
        <w:tc>
          <w:tcPr>
            <w:tcW w:type="dxa" w:w="10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Priority</w:t>
            </w:r>
          </w:p>
        </w:tc>
        <w:tc>
          <w:tcPr>
            <w:tcW w:type="dxa" w:w="23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Scope label</w:t>
            </w:r>
          </w:p>
        </w:tc>
      </w:tr>
      <w:tr>
        <w:tc>
          <w:tcPr>
            <w:tcW w:type="dxa" w:w="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A</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KPI Cards Row</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Numeric tiles</w:t>
            </w:r>
          </w:p>
        </w:tc>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Overview</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pPr>
              <w:spacing w:after="0"/>
            </w:pPr>
            <w:r>
              <w:rPr>
                <w:rFonts w:ascii="Calibri" w:cs="Calibri" w:eastAsia="Calibri" w:hAnsi="Calibri"/>
                <w:color w:val="DC2626"/>
                <w:sz w:val="22"/>
                <w:szCs w:val="22"/>
              </w:rPr>
              <w:t xml:space="preserve">P0 ★★★</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All scopes</w:t>
            </w:r>
          </w:p>
        </w:tc>
      </w:tr>
      <w:tr>
        <w:tc>
          <w:tcPr>
            <w:tcW w:type="dxa" w:w="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B</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Campus CO₂e Trend</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Area chart (line)</w:t>
            </w:r>
          </w:p>
        </w:tc>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Overview</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pPr>
              <w:spacing w:after="0"/>
            </w:pPr>
            <w:r>
              <w:rPr>
                <w:rFonts w:ascii="Calibri" w:cs="Calibri" w:eastAsia="Calibri" w:hAnsi="Calibri"/>
                <w:color w:val="DC2626"/>
                <w:sz w:val="22"/>
                <w:szCs w:val="22"/>
              </w:rPr>
              <w:t xml:space="preserve">P0 ★★★</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All</w:t>
            </w:r>
          </w:p>
        </w:tc>
      </w:tr>
      <w:tr>
        <w:tc>
          <w:tcPr>
            <w:tcW w:type="dxa" w:w="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C</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Category Split Over Time</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Stacked area</w:t>
            </w:r>
          </w:p>
        </w:tc>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Overview</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pPr>
              <w:spacing w:after="0"/>
            </w:pPr>
            <w:r>
              <w:rPr>
                <w:rFonts w:ascii="Calibri" w:cs="Calibri" w:eastAsia="Calibri" w:hAnsi="Calibri"/>
                <w:color w:val="DC2626"/>
                <w:sz w:val="22"/>
                <w:szCs w:val="22"/>
              </w:rPr>
              <w:t xml:space="preserve">P0 ★★★</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All</w:t>
            </w:r>
          </w:p>
        </w:tc>
      </w:tr>
      <w:tr>
        <w:tc>
          <w:tcPr>
            <w:tcW w:type="dxa" w:w="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D</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Building Energy &amp; CO₂</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Horizontal bar</w:t>
            </w:r>
          </w:p>
        </w:tc>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Energy</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pPr>
              <w:spacing w:after="0"/>
            </w:pPr>
            <w:r>
              <w:rPr>
                <w:rFonts w:ascii="Calibri" w:cs="Calibri" w:eastAsia="Calibri" w:hAnsi="Calibri"/>
                <w:color w:val="DC2626"/>
                <w:sz w:val="22"/>
                <w:szCs w:val="22"/>
              </w:rPr>
              <w:t xml:space="preserve">P0 ★★★</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Scope 1+2</w:t>
            </w:r>
          </w:p>
        </w:tc>
      </w:tr>
      <w:tr>
        <w:tc>
          <w:tcPr>
            <w:tcW w:type="dxa" w:w="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E</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Energy Intensity Heatmap</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Matrix heatmap</w:t>
            </w:r>
          </w:p>
        </w:tc>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Energy</w:t>
            </w:r>
          </w:p>
        </w:tc>
        <w:tc>
          <w:tcPr>
            <w:tcW w:type="dxa" w:w="10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pPr>
              <w:spacing w:after="0"/>
            </w:pPr>
            <w:r>
              <w:rPr>
                <w:rFonts w:ascii="Calibri" w:cs="Calibri" w:eastAsia="Calibri" w:hAnsi="Calibri"/>
                <w:color w:val="D97706"/>
                <w:sz w:val="22"/>
                <w:szCs w:val="22"/>
              </w:rPr>
              <w:t xml:space="preserve">P1 ★★</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Scope 2</w:t>
            </w:r>
          </w:p>
        </w:tc>
      </w:tr>
      <w:tr>
        <w:tc>
          <w:tcPr>
            <w:tcW w:type="dxa" w:w="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F</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Transport Modal Split</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Donut + bar + grouped</w:t>
            </w:r>
          </w:p>
        </w:tc>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Transport</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pPr>
              <w:spacing w:after="0"/>
            </w:pPr>
            <w:r>
              <w:rPr>
                <w:rFonts w:ascii="Calibri" w:cs="Calibri" w:eastAsia="Calibri" w:hAnsi="Calibri"/>
                <w:color w:val="DC2626"/>
                <w:sz w:val="22"/>
                <w:szCs w:val="22"/>
              </w:rPr>
              <w:t xml:space="preserve">P0 ★★★</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Scope 3</w:t>
            </w:r>
          </w:p>
        </w:tc>
      </w:tr>
      <w:tr>
        <w:tc>
          <w:tcPr>
            <w:tcW w:type="dxa" w:w="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G</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Commute Flow Map</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Choropleth / Sankey</w:t>
            </w:r>
          </w:p>
        </w:tc>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Transport</w:t>
            </w:r>
          </w:p>
        </w:tc>
        <w:tc>
          <w:tcPr>
            <w:tcW w:type="dxa" w:w="1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6B7280"/>
                <w:sz w:val="22"/>
                <w:szCs w:val="22"/>
              </w:rPr>
              <w:t xml:space="preserve">P2 ★</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Scope 3</w:t>
            </w:r>
          </w:p>
        </w:tc>
      </w:tr>
      <w:tr>
        <w:tc>
          <w:tcPr>
            <w:tcW w:type="dxa" w:w="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H</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Waste Stream Charts</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Stacked area + donut</w:t>
            </w:r>
          </w:p>
        </w:tc>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Waste</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pPr>
              <w:spacing w:after="0"/>
            </w:pPr>
            <w:r>
              <w:rPr>
                <w:rFonts w:ascii="Calibri" w:cs="Calibri" w:eastAsia="Calibri" w:hAnsi="Calibri"/>
                <w:color w:val="DC2626"/>
                <w:sz w:val="22"/>
                <w:szCs w:val="22"/>
              </w:rPr>
              <w:t xml:space="preserve">P0 ★★★</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Scope 3</w:t>
            </w:r>
          </w:p>
        </w:tc>
      </w:tr>
      <w:tr>
        <w:tc>
          <w:tcPr>
            <w:tcW w:type="dxa" w:w="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I</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Per-capita &amp; Intensity</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KPI + small bars</w:t>
            </w:r>
          </w:p>
        </w:tc>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Overview</w:t>
            </w:r>
          </w:p>
        </w:tc>
        <w:tc>
          <w:tcPr>
            <w:tcW w:type="dxa" w:w="10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pPr>
              <w:spacing w:after="0"/>
            </w:pPr>
            <w:r>
              <w:rPr>
                <w:rFonts w:ascii="Calibri" w:cs="Calibri" w:eastAsia="Calibri" w:hAnsi="Calibri"/>
                <w:color w:val="D97706"/>
                <w:sz w:val="22"/>
                <w:szCs w:val="22"/>
              </w:rPr>
              <w:t xml:space="preserve">P1 ★★</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All</w:t>
            </w:r>
          </w:p>
        </w:tc>
      </w:tr>
      <w:tr>
        <w:tc>
          <w:tcPr>
            <w:tcW w:type="dxa" w:w="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J</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Building Drilldown</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KPI + bar + table</w:t>
            </w:r>
          </w:p>
        </w:tc>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Energy (drawer)</w:t>
            </w:r>
          </w:p>
        </w:tc>
        <w:tc>
          <w:tcPr>
            <w:tcW w:type="dxa" w:w="10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pPr>
              <w:spacing w:after="0"/>
            </w:pPr>
            <w:r>
              <w:rPr>
                <w:rFonts w:ascii="Calibri" w:cs="Calibri" w:eastAsia="Calibri" w:hAnsi="Calibri"/>
                <w:color w:val="D97706"/>
                <w:sz w:val="22"/>
                <w:szCs w:val="22"/>
              </w:rPr>
              <w:t xml:space="preserve">P1 ★★</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Scope 1+2</w:t>
            </w:r>
          </w:p>
        </w:tc>
      </w:tr>
      <w:tr>
        <w:tc>
          <w:tcPr>
            <w:tcW w:type="dxa" w:w="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K</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Benchmark vs Target</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Radar / Index bar</w:t>
            </w:r>
          </w:p>
        </w:tc>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Overview (optional)</w:t>
            </w:r>
          </w:p>
        </w:tc>
        <w:tc>
          <w:tcPr>
            <w:tcW w:type="dxa" w:w="1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6B7280"/>
                <w:sz w:val="22"/>
                <w:szCs w:val="22"/>
              </w:rPr>
              <w:t xml:space="preserve">P2 ★</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All</w:t>
            </w:r>
          </w:p>
        </w:tc>
      </w:tr>
      <w:tr>
        <w:tc>
          <w:tcPr>
            <w:tcW w:type="dxa" w:w="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L</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What-if Scenario Visualizer</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Line + shaded area</w:t>
            </w:r>
          </w:p>
        </w:tc>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Scenario</w:t>
            </w:r>
          </w:p>
        </w:tc>
        <w:tc>
          <w:tcPr>
            <w:tcW w:type="dxa" w:w="10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pPr>
              <w:spacing w:after="0"/>
            </w:pPr>
            <w:r>
              <w:rPr>
                <w:rFonts w:ascii="Calibri" w:cs="Calibri" w:eastAsia="Calibri" w:hAnsi="Calibri"/>
                <w:color w:val="D97706"/>
                <w:sz w:val="22"/>
                <w:szCs w:val="22"/>
              </w:rPr>
              <w:t xml:space="preserve">P1 ★★</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All</w:t>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Priority guide: </w:t>
      </w:r>
      <w:r>
        <w:rPr>
          <w:rFonts w:ascii="Calibri" w:cs="Calibri" w:eastAsia="Calibri" w:hAnsi="Calibri"/>
          <w:sz w:val="22"/>
          <w:szCs w:val="22"/>
        </w:rPr>
        <w:t xml:space="preserve">P0 = Must have (build first) | P1 = Should have (Phase 2) | P2 = Nice to have (if data allows)</w:t>
      </w:r>
    </w:p>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8.1  Data Collection Priority Order</w:t>
      </w:r>
    </w:p>
    <w:p>
      <w:pPr>
        <w:spacing w:after="120"/>
      </w:pPr>
      <w:r>
        <w:rPr>
          <w:rFonts w:ascii="Calibri" w:cs="Calibri" w:eastAsia="Calibri" w:hAnsi="Calibri"/>
          <w:sz w:val="22"/>
          <w:szCs w:val="22"/>
        </w:rPr>
        <w:t xml:space="preserve">Collect in this order to unlock the most visualizations fastest:</w:t>
      </w:r>
    </w:p>
    <w:p>
      <w:pPr>
        <w:pStyle w:val="ListParagraph"/>
        <w:numPr>
          <w:ilvl w:val="0"/>
          <w:numId w:val="2"/>
        </w:numPr>
        <w:spacing w:after="80"/>
      </w:pPr>
      <w:r>
        <w:rPr>
          <w:rFonts w:ascii="Calibri" w:cs="Calibri" w:eastAsia="Calibri" w:hAnsi="Calibri"/>
          <w:sz w:val="22"/>
          <w:szCs w:val="22"/>
        </w:rPr>
        <w:t xml:space="preserve">Building electricity monthly bills or submeter readings → unlocks VIZ D, E, J, KPI A/B/C</w:t>
      </w:r>
    </w:p>
    <w:p>
      <w:pPr>
        <w:pStyle w:val="ListParagraph"/>
        <w:numPr>
          <w:ilvl w:val="0"/>
          <w:numId w:val="2"/>
        </w:numPr>
        <w:spacing w:after="80"/>
      </w:pPr>
      <w:r>
        <w:rPr>
          <w:rFonts w:ascii="Calibri" w:cs="Calibri" w:eastAsia="Calibri" w:hAnsi="Calibri"/>
          <w:sz w:val="22"/>
          <w:szCs w:val="22"/>
        </w:rPr>
        <w:t xml:space="preserve">Campus population headcount + total built area → unlocks per-capita and CO₂/m² KPIs</w:t>
      </w:r>
    </w:p>
    <w:p>
      <w:pPr>
        <w:pStyle w:val="ListParagraph"/>
        <w:numPr>
          <w:ilvl w:val="0"/>
          <w:numId w:val="2"/>
        </w:numPr>
        <w:spacing w:after="80"/>
      </w:pPr>
      <w:r>
        <w:rPr>
          <w:rFonts w:ascii="Calibri" w:cs="Calibri" w:eastAsia="Calibri" w:hAnsi="Calibri"/>
          <w:sz w:val="22"/>
          <w:szCs w:val="22"/>
        </w:rPr>
        <w:t xml:space="preserve">Diesel generator fuel logs → completes energy Scope 1 picture</w:t>
      </w:r>
    </w:p>
    <w:p>
      <w:pPr>
        <w:pStyle w:val="ListParagraph"/>
        <w:numPr>
          <w:ilvl w:val="0"/>
          <w:numId w:val="2"/>
        </w:numPr>
        <w:spacing w:after="80"/>
      </w:pPr>
      <w:r>
        <w:rPr>
          <w:rFonts w:ascii="Calibri" w:cs="Calibri" w:eastAsia="Calibri" w:hAnsi="Calibri"/>
          <w:sz w:val="22"/>
          <w:szCs w:val="22"/>
        </w:rPr>
        <w:t xml:space="preserve">Transport survey (modal split + avg distances) → unlocks VIZ F, I</w:t>
      </w:r>
    </w:p>
    <w:p>
      <w:pPr>
        <w:pStyle w:val="ListParagraph"/>
        <w:numPr>
          <w:ilvl w:val="0"/>
          <w:numId w:val="2"/>
        </w:numPr>
        <w:spacing w:after="80"/>
      </w:pPr>
      <w:r>
        <w:rPr>
          <w:rFonts w:ascii="Calibri" w:cs="Calibri" w:eastAsia="Calibri" w:hAnsi="Calibri"/>
          <w:sz w:val="22"/>
          <w:szCs w:val="22"/>
        </w:rPr>
        <w:t xml:space="preserve">Waste tonnage by stream monthly → unlocks VIZ H and what-if slider</w:t>
      </w:r>
    </w:p>
    <w:p>
      <w:pPr>
        <w:pStyle w:val="ListParagraph"/>
        <w:numPr>
          <w:ilvl w:val="0"/>
          <w:numId w:val="2"/>
        </w:numPr>
        <w:spacing w:after="80"/>
      </w:pPr>
      <w:r>
        <w:rPr>
          <w:rFonts w:ascii="Calibri" w:cs="Calibri" w:eastAsia="Calibri" w:hAnsi="Calibri"/>
          <w:sz w:val="22"/>
          <w:szCs w:val="22"/>
        </w:rPr>
        <w:t xml:space="preserve">Canteen food procurement + refrigerant log → unlocks full Scope 3</w:t>
      </w:r>
    </w:p>
    <w:p>
      <w:pPr>
        <w:spacing w:after="8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166534"/>
          <w:sz w:val="30"/>
          <w:szCs w:val="30"/>
        </w:rPr>
        <w:t xml:space="preserve">8.2  Data Quality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c>
          <w:tcPr>
            <w:tcW w:type="dxa" w:w="24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Rule</w:t>
            </w:r>
          </w:p>
        </w:tc>
        <w:tc>
          <w:tcPr>
            <w:tcW w:type="dxa" w:w="2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Condition</w:t>
            </w:r>
          </w:p>
        </w:tc>
        <w:tc>
          <w:tcPr>
            <w:tcW w:type="dxa" w:w="41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Action</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Range check</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electricity_kwh &lt; 0</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Reject; flag as data error; notify data owner</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Range check</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single-day kWh &gt; reasonable threshold</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Flag as suspect; label with amber confidence dot</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Completeness</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period_start or period_end missing</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Reject record; require fix before import</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Missing month (≤1 month)</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No reading for a month</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Interpolate: average of previous 3 months; mark as estimate (*)</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No meter for building</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Meter data unavailable</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Estimate: area_m2 × kWh/m2/month intensity; mark as estimate (*)</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Unit mismatch</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ourier New" w:cs="Courier New" w:eastAsia="Courier New" w:hAnsi="Courier New"/>
                <w:color w:val="166534"/>
                <w:sz w:val="18"/>
                <w:szCs w:val="18"/>
              </w:rPr>
              <w:t xml:space="preserve">lpg entered in litres not kg</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Apply conversion factor; flag in provenance</w:t>
            </w:r>
          </w:p>
        </w:tc>
      </w:tr>
    </w:tbl>
    <w:p>
      <w:pPr>
        <w:spacing w:after="0"/>
      </w:pPr>
      <w:r>
        <w:br w:type="page"/>
      </w:r>
    </w:p>
    <w:p>
      <w:pPr>
        <w:pStyle w:val="Heading1"/>
        <w:pBdr>
          <w:bottom w:val="single" w:color="16A34A" w:sz="6" w:space="4"/>
        </w:pBdr>
        <w:spacing w:before="480" w:after="200"/>
      </w:pPr>
      <w:r>
        <w:rPr>
          <w:rFonts w:ascii="Calibri" w:cs="Calibri" w:eastAsia="Calibri" w:hAnsi="Calibri"/>
          <w:b/>
          <w:bCs/>
          <w:color w:val="111827"/>
          <w:sz w:val="40"/>
          <w:szCs w:val="40"/>
        </w:rPr>
        <w:t xml:space="preserve">9. Phased Development Plan</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gridCol w:w="100"/>
      </w:tblGrid>
      <w:tr>
        <w:tc>
          <w:tcPr>
            <w:tcW w:type="dxa" w:w="12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Phase</w:t>
            </w:r>
          </w:p>
        </w:tc>
        <w:tc>
          <w:tcPr>
            <w:tcW w:type="dxa" w:w="36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Deliverables</w:t>
            </w:r>
          </w:p>
        </w:tc>
        <w:tc>
          <w:tcPr>
            <w:tcW w:type="dxa" w:w="26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Visualizations built</w:t>
            </w:r>
          </w:p>
        </w:tc>
        <w:tc>
          <w:tcPr>
            <w:tcW w:type="dxa" w:w="19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Duration</w:t>
            </w:r>
          </w:p>
        </w:tc>
      </w:tr>
      <w:tr>
        <w:tc>
          <w:tcPr>
            <w:tcW w:type="dxa" w:w="12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Phase 1
Foundation</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Project setup, routing, global state, TopBar, Sidebar, mock data layer, KPI card component, Overview page skeleton</w:t>
            </w:r>
          </w:p>
        </w:tc>
        <w:tc>
          <w:tcPr>
            <w:tcW w:type="dxa" w:w="2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VIZ A, B, C</w:t>
            </w:r>
          </w:p>
        </w:tc>
        <w:tc>
          <w:tcPr>
            <w:tcW w:type="dxa" w:w="196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pPr>
              <w:spacing w:after="0"/>
            </w:pPr>
            <w:r>
              <w:rPr>
                <w:rFonts w:ascii="Calibri" w:cs="Calibri" w:eastAsia="Calibri" w:hAnsi="Calibri"/>
                <w:color w:val="D97706"/>
                <w:sz w:val="22"/>
                <w:szCs w:val="22"/>
              </w:rPr>
              <w:t xml:space="preserve">~2 weeks</w:t>
            </w:r>
          </w:p>
        </w:tc>
      </w:tr>
      <w:tr>
        <w:tc>
          <w:tcPr>
            <w:tcW w:type="dxa" w:w="12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Phase 2
Energy</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Energy page with building bar + heatmap + drilldown drawer; all energy calculations wired to real/mock data</w:t>
            </w:r>
          </w:p>
        </w:tc>
        <w:tc>
          <w:tcPr>
            <w:tcW w:type="dxa" w:w="2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VIZ D, E, J</w:t>
            </w:r>
          </w:p>
        </w:tc>
        <w:tc>
          <w:tcPr>
            <w:tcW w:type="dxa" w:w="196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pPr>
              <w:spacing w:after="0"/>
            </w:pPr>
            <w:r>
              <w:rPr>
                <w:rFonts w:ascii="Calibri" w:cs="Calibri" w:eastAsia="Calibri" w:hAnsi="Calibri"/>
                <w:color w:val="D97706"/>
                <w:sz w:val="22"/>
                <w:szCs w:val="22"/>
              </w:rPr>
              <w:t xml:space="preserve">~1.5 weeks</w:t>
            </w:r>
          </w:p>
        </w:tc>
      </w:tr>
      <w:tr>
        <w:tc>
          <w:tcPr>
            <w:tcW w:type="dxa" w:w="12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Phase 3
Transport</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Transport page with donut + bar + cohort filter + distance chart; transport EF calculations</w:t>
            </w:r>
          </w:p>
        </w:tc>
        <w:tc>
          <w:tcPr>
            <w:tcW w:type="dxa" w:w="2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VIZ F, I</w:t>
            </w:r>
          </w:p>
        </w:tc>
        <w:tc>
          <w:tcPr>
            <w:tcW w:type="dxa" w:w="196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pPr>
              <w:spacing w:after="0"/>
            </w:pPr>
            <w:r>
              <w:rPr>
                <w:rFonts w:ascii="Calibri" w:cs="Calibri" w:eastAsia="Calibri" w:hAnsi="Calibri"/>
                <w:color w:val="D97706"/>
                <w:sz w:val="22"/>
                <w:szCs w:val="22"/>
              </w:rPr>
              <w:t xml:space="preserve">~1.5 weeks</w:t>
            </w:r>
          </w:p>
        </w:tc>
      </w:tr>
      <w:tr>
        <w:tc>
          <w:tcPr>
            <w:tcW w:type="dxa" w:w="12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Phase 4
Waste</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Waste page with stacked area + donut + what-if composting slider; waste CO₂e calculations</w:t>
            </w:r>
          </w:p>
        </w:tc>
        <w:tc>
          <w:tcPr>
            <w:tcW w:type="dxa" w:w="2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VIZ H</w:t>
            </w:r>
          </w:p>
        </w:tc>
        <w:tc>
          <w:tcPr>
            <w:tcW w:type="dxa" w:w="196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pPr>
              <w:spacing w:after="0"/>
            </w:pPr>
            <w:r>
              <w:rPr>
                <w:rFonts w:ascii="Calibri" w:cs="Calibri" w:eastAsia="Calibri" w:hAnsi="Calibri"/>
                <w:color w:val="D97706"/>
                <w:sz w:val="22"/>
                <w:szCs w:val="22"/>
              </w:rPr>
              <w:t xml:space="preserve">~1 week</w:t>
            </w:r>
          </w:p>
        </w:tc>
      </w:tr>
      <w:tr>
        <w:tc>
          <w:tcPr>
            <w:tcW w:type="dxa" w:w="12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Phase 5
Scenario + Settings</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Scenario planner with all 4 intervention sliders + projection chart; Settings page with EF table + confidence legend</w:t>
            </w:r>
          </w:p>
        </w:tc>
        <w:tc>
          <w:tcPr>
            <w:tcW w:type="dxa" w:w="2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VIZ L, K (partial)</w:t>
            </w:r>
          </w:p>
        </w:tc>
        <w:tc>
          <w:tcPr>
            <w:tcW w:type="dxa" w:w="196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pPr>
              <w:spacing w:after="0"/>
            </w:pPr>
            <w:r>
              <w:rPr>
                <w:rFonts w:ascii="Calibri" w:cs="Calibri" w:eastAsia="Calibri" w:hAnsi="Calibri"/>
                <w:color w:val="D97706"/>
                <w:sz w:val="22"/>
                <w:szCs w:val="22"/>
              </w:rPr>
              <w:t xml:space="preserve">~1.5 weeks</w:t>
            </w:r>
          </w:p>
        </w:tc>
      </w:tr>
      <w:tr>
        <w:tc>
          <w:tcPr>
            <w:tcW w:type="dxa" w:w="12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tcPr>
          <w:p>
            <w:pPr>
              <w:spacing w:after="0"/>
            </w:pPr>
            <w:r>
              <w:rPr>
                <w:rFonts w:ascii="Calibri" w:cs="Calibri" w:eastAsia="Calibri" w:hAnsi="Calibri"/>
                <w:color w:val="166534"/>
                <w:sz w:val="22"/>
                <w:szCs w:val="22"/>
              </w:rPr>
              <w:t xml:space="preserve">Phase 6
Polish + Export</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Animations, export (PNG/PDF/CSV), scope toggle wiring, responsive layout, accessibility audit, API integration</w:t>
            </w:r>
          </w:p>
        </w:tc>
        <w:tc>
          <w:tcPr>
            <w:tcW w:type="dxa" w:w="2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pPr>
              <w:spacing w:after="0"/>
            </w:pPr>
            <w:r>
              <w:rPr>
                <w:rFonts w:ascii="Calibri" w:cs="Calibri" w:eastAsia="Calibri" w:hAnsi="Calibri"/>
                <w:color w:val="0284C7"/>
                <w:sz w:val="22"/>
                <w:szCs w:val="22"/>
              </w:rPr>
              <w:t xml:space="preserve">All VIZ refined</w:t>
            </w:r>
          </w:p>
        </w:tc>
        <w:tc>
          <w:tcPr>
            <w:tcW w:type="dxa" w:w="196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pPr>
              <w:spacing w:after="0"/>
            </w:pPr>
            <w:r>
              <w:rPr>
                <w:rFonts w:ascii="Calibri" w:cs="Calibri" w:eastAsia="Calibri" w:hAnsi="Calibri"/>
                <w:color w:val="D97706"/>
                <w:sz w:val="22"/>
                <w:szCs w:val="22"/>
              </w:rPr>
              <w:t xml:space="preserve">~1.5 weeks</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6A34A" w:sz="4"/>
              <w:left w:val="single" w:color="16A34A" w:sz="4"/>
              <w:bottom w:val="single" w:color="16A34A" w:sz="4"/>
              <w:right w:val="single" w:color="16A34A" w:sz="4"/>
            </w:tcBorders>
            <w:shd w:fill="16A34A" w:val="clear"/>
            <w:tcMar>
              <w:top w:type="dxa" w:w="80"/>
              <w:left w:type="dxa" w:w="120"/>
              <w:bottom w:type="dxa" w:w="80"/>
              <w:right w:type="dxa" w:w="120"/>
            </w:tcMar>
          </w:tcPr>
          <w:p>
            <w:pPr>
              <w:spacing w:after="0"/>
              <w:jc w:val="center"/>
            </w:pPr>
            <w:r>
              <w:rPr>
                <w:rFonts w:ascii="Calibri" w:cs="Calibri" w:eastAsia="Calibri" w:hAnsi="Calibri"/>
                <w:b/>
                <w:bCs/>
                <w:color w:val="FFFFFF"/>
                <w:sz w:val="18"/>
                <w:szCs w:val="18"/>
              </w:rPr>
              <w:t xml:space="preserve">TIP</w:t>
            </w:r>
          </w:p>
        </w:tc>
        <w:tc>
          <w:tcPr>
            <w:tcW w:type="dxa" w:w="8960"/>
            <w:tcBorders>
              <w:top w:val="single" w:color="16A34A" w:sz="4"/>
              <w:left w:val="single" w:color="16A34A" w:sz="4"/>
              <w:bottom w:val="single" w:color="16A34A" w:sz="4"/>
              <w:right w:val="single" w:color="16A34A" w:sz="4"/>
            </w:tcBorders>
            <w:shd w:fill="DCFCE7" w:val="clear"/>
            <w:tcMar>
              <w:top w:type="dxa" w:w="80"/>
              <w:left w:type="dxa" w:w="160"/>
              <w:bottom w:type="dxa" w:w="80"/>
              <w:right w:type="dxa" w:w="120"/>
            </w:tcMar>
          </w:tcPr>
          <w:p>
            <w:pPr>
              <w:spacing w:after="0"/>
            </w:pPr>
            <w:r>
              <w:rPr>
                <w:rFonts w:ascii="Calibri" w:cs="Calibri" w:eastAsia="Calibri" w:hAnsi="Calibri"/>
                <w:color w:val="374151"/>
                <w:sz w:val="22"/>
                <w:szCs w:val="22"/>
              </w:rPr>
              <w:t xml:space="preserve">Build each page with mock JSON data first. Only integrate real API calls in Phase 6 once all visualizations are validated. This de-risks data issues from blocking frontend progress.</w:t>
            </w:r>
          </w:p>
        </w:tc>
      </w:tr>
    </w:tbl>
    <w:p>
      <w:pPr>
        <w:spacing w:after="80"/>
      </w:pPr>
      <w:r>
        <w:rPr>
          <w:rFonts w:ascii="Calibri" w:cs="Calibri" w:eastAsia="Calibri" w:hAnsi="Calibri"/>
          <w:sz w:val="22"/>
          <w:szCs w:val="22"/>
        </w:rPr>
        <w:t xml:space="preserve"/>
      </w:r>
    </w:p>
    <w:p>
      <w:pPr>
        <w:pStyle w:val="Heading1"/>
        <w:pBdr>
          <w:bottom w:val="single" w:color="16A34A" w:sz="6" w:space="4"/>
        </w:pBdr>
        <w:spacing w:before="480" w:after="200"/>
      </w:pPr>
      <w:r>
        <w:rPr>
          <w:rFonts w:ascii="Calibri" w:cs="Calibri" w:eastAsia="Calibri" w:hAnsi="Calibri"/>
          <w:b/>
          <w:bCs/>
          <w:color w:val="111827"/>
          <w:sz w:val="40"/>
          <w:szCs w:val="40"/>
        </w:rPr>
        <w:t xml:space="preserve">10. Display Conventions &amp; Best Practices</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c>
          <w:tcPr>
            <w:tcW w:type="dxa" w:w="280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Convention</w:t>
            </w:r>
          </w:p>
        </w:tc>
        <w:tc>
          <w:tcPr>
            <w:tcW w:type="dxa" w:w="6560"/>
            <w:tcBorders>
              <w:top w:val="single" w:color="166534" w:sz="4"/>
              <w:left w:val="single" w:color="166534" w:sz="4"/>
              <w:bottom w:val="single" w:color="166534" w:sz="4"/>
              <w:right w:val="single" w:color="166534" w:sz="4"/>
            </w:tcBorders>
            <w:shd w:fill="16653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Rule</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Units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Always kg CO₂e by default. Toggle to tonnes (÷1000). Always label unit on chart axis.</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Period labeling</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Every chart must show month/year on X-axis or as subtitle. Never omit period.</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Estimated data marker</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Asterisk (*) on any KPI or bar derived from estimated (not metered) data.</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Provenance badge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Small colored tag: meter (green) | bill (blue) | survey (amber) | estimate (gray).</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Confidence dot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Small circle on KPI tiles: ● green = High | ● amber = Medium | ● red = Low.</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Decimal precision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CO₂ values: 0 decimal places for kg; 2 decimal places for tonnes.</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Color consistency</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Energy = blue (#0284C7) | Transport = amber (#D97706) | Waste = purple (#7C3AED) | positive/reduction = green (#16A34A) | increase/alert = red (#DC2626).</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Chart tooltips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All charts must have hover tooltips. Tooltip must include: value with unit, period, data source.</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Empty states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If no data for a period: show placeholder with collection guidance, not a blank chart.</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Annotation on estimates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pPr>
            <w:r>
              <w:rPr>
                <w:rFonts w:ascii="Calibri" w:cs="Calibri" w:eastAsia="Calibri" w:hAnsi="Calibri"/>
                <w:color w:val="374151"/>
                <w:sz w:val="22"/>
                <w:szCs w:val="22"/>
              </w:rPr>
              <w:t xml:space="preserve">Settings page must list all EFs with source reference. Formal reports must use authoritative national factors.</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pPr>
      <w:r>
        <w:rPr>
          <w:rFonts w:ascii="Calibri" w:cs="Calibri" w:eastAsia="Calibri" w:hAnsi="Calibri"/>
          <w:b/>
          <w:bCs/>
          <w:color w:val="6B7280"/>
          <w:sz w:val="20"/>
          <w:szCs w:val="20"/>
        </w:rPr>
        <w:t xml:space="preserve">End of Implementation Plan. </w:t>
      </w:r>
      <w:r>
        <w:rPr>
          <w:rFonts w:ascii="Calibri" w:cs="Calibri" w:eastAsia="Calibri" w:hAnsi="Calibri"/>
          <w:i/>
          <w:iCs/>
          <w:color w:val="6B7280"/>
          <w:sz w:val="20"/>
          <w:szCs w:val="20"/>
        </w:rPr>
        <w:t xml:space="preserve">All visualizations, interactions, data inputs, formulas, and development phases are defined above. This document should be reviewed alongside the project spec PDF. Questions or deviations from these specifications should be documented in the audit log on the Settings page.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FCE7" w:sz="4" w:space="4"/>
      </w:pBdr>
      <w:spacing w:before="80"/>
    </w:pPr>
    <w:r>
      <w:rPr>
        <w:rFonts w:ascii="Calibri" w:cs="Calibri" w:eastAsia="Calibri" w:hAnsi="Calibri"/>
        <w:color w:val="6B7280"/>
        <w:sz w:val="16"/>
        <w:szCs w:val="16"/>
      </w:rPr>
      <w:t xml:space="preserve">Carbon Footprint Dashboard ·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FCE7" w:sz="4" w:space="4"/>
      </w:pBdr>
      <w:tabs>
        <w:tab w:val="right" w:pos="9360"/>
      </w:tabs>
      <w:spacing w:after="0"/>
    </w:pPr>
    <w:r>
      <w:rPr>
        <w:rFonts w:ascii="Calibri" w:cs="Calibri" w:eastAsia="Calibri" w:hAnsi="Calibri"/>
        <w:b/>
        <w:bCs/>
        <w:color w:val="16A34A"/>
        <w:sz w:val="18"/>
        <w:szCs w:val="18"/>
      </w:rPr>
      <w:t xml:space="preserve">🌿  CampusCarbon Dashboard</w:t>
    </w:r>
    <w:r>
      <w:rPr>
        <w:rFonts w:ascii="Calibri" w:cs="Calibri" w:eastAsia="Calibri" w:hAnsi="Calibri"/>
        <w:color w:val="6B7280"/>
        <w:sz w:val="18"/>
        <w:szCs w:val="18"/>
      </w:rPr>
      <w:t xml:space="preserve">		Implementation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Calibri" w:cs="Calibri" w:eastAsia="Calibri" w:hAnsi="Calibri"/>
      <w:b/>
      <w:bCs/>
      <w:color w:val="111827"/>
      <w:sz w:val="40"/>
      <w:szCs w:val="40"/>
    </w:rPr>
  </w:style>
  <w:style w:type="paragraph" w:styleId="Heading2">
    <w:name w:val="Heading 2"/>
    <w:basedOn w:val="Normal"/>
    <w:next w:val="Normal"/>
    <w:qFormat/>
    <w:pPr>
      <w:spacing w:before="360" w:after="160"/>
      <w:outlineLvl w:val="1"/>
    </w:pPr>
    <w:rPr>
      <w:rFonts w:ascii="Calibri" w:cs="Calibri" w:eastAsia="Calibri" w:hAnsi="Calibri"/>
      <w:b/>
      <w:bCs/>
      <w:color w:val="166534"/>
      <w:sz w:val="30"/>
      <w:szCs w:val="30"/>
    </w:rPr>
  </w:style>
  <w:style w:type="paragraph" w:styleId="Heading3">
    <w:name w:val="Heading 3"/>
    <w:basedOn w:val="Normal"/>
    <w:next w:val="Normal"/>
    <w:qFormat/>
    <w:pPr>
      <w:spacing w:before="240" w:after="12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2026-03-02T05:01:28.439Z</dcterms:created>
  <dcterms:modified xsi:type="dcterms:W3CDTF">2026-03-02T05:01:28.440Z</dcterms:modified>
</cp:coreProperties>
</file>

<file path=docProps/custom.xml><?xml version="1.0" encoding="utf-8"?>
<Properties xmlns="http://schemas.openxmlformats.org/officeDocument/2006/custom-properties" xmlns:vt="http://schemas.openxmlformats.org/officeDocument/2006/docPropsVTypes"/>
</file>