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谢珮爽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2018.10. 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完成管理员界面设计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参与前端学习培训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bookmarkStart w:id="0" w:name="_GoBack" w:colFirst="4" w:colLast="7"/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完</w:t>
            </w:r>
            <w:r>
              <w:rPr>
                <w:rFonts w:hint="eastAsia"/>
                <w:lang w:val="en-US" w:eastAsia="zh-CN"/>
              </w:rPr>
              <w:t>善概要设计文档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2520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2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70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  <w:tc>
          <w:tcPr>
            <w:tcW w:w="851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8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9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&lt;对分配任务的进度问题，存在的技术问题、存在的困难进行描述&gt;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8080"/>
              </w:rPr>
            </w:pPr>
            <w:r>
              <w:rPr>
                <w:rFonts w:hint="eastAsia"/>
                <w:i/>
                <w:iCs/>
                <w:color w:val="008080"/>
              </w:rPr>
              <w:t>&lt;提出对组织、生活、培训、交流、技术等等方面的建议&gt;</w:t>
            </w: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  <w:p>
            <w:pPr>
              <w:pStyle w:val="9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ind w:firstLine="90" w:firstLineChars="50"/>
        <w:rPr>
          <w:rFonts w:hint="eastAsia" w:ascii="Tahoma" w:hAnsi="Tahoma" w:cs="Tahoma"/>
          <w:i/>
          <w:color w:val="008080"/>
          <w:sz w:val="18"/>
          <w:szCs w:val="18"/>
        </w:rPr>
      </w:pPr>
      <w:r>
        <w:rPr>
          <w:rFonts w:hint="eastAsia" w:ascii="Tahoma" w:hAnsi="Tahoma" w:cs="Tahoma"/>
          <w:i/>
          <w:color w:val="008080"/>
          <w:sz w:val="18"/>
          <w:szCs w:val="18"/>
        </w:rPr>
        <w:t xml:space="preserve">(Everyone is required to hand in this report every Tuesday after starting your </w:t>
      </w:r>
      <w:r>
        <w:rPr>
          <w:rFonts w:ascii="Tahoma" w:hAnsi="Tahoma" w:cs="Tahoma"/>
          <w:i/>
          <w:color w:val="008080"/>
          <w:sz w:val="18"/>
          <w:szCs w:val="18"/>
        </w:rPr>
        <w:t>project.)</w:t>
      </w:r>
    </w:p>
    <w:p>
      <w:pPr>
        <w:rPr>
          <w:rFonts w:hint="eastAsia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14605"/>
                <wp:docPr id="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62E03"/>
    <w:rsid w:val="24362E03"/>
    <w:rsid w:val="46E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2018-12-16T09:14:00Z</dcterms:created>
  <dc:creator>珮</dc:creator>
  <cp:lastModifiedBy>珮</cp:lastModifiedBy>
  <dcterms:modified xsi:type="dcterms:W3CDTF">2018-12-16T09:26:30Z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