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13"/>
        <w:jc w:val="left"/>
        <w:rPr/>
      </w:pPr>
      <w:r>
        <w:rPr/>
        <w:t>CT2 System Workflow And Process Guide</w:t>
      </w:r>
    </w:p>
    <w:p>
      <w:pPr>
        <w:pStyle w:val="BodyTextsubtitle"/>
        <w:bidi w:val="0"/>
        <w:jc w:val="left"/>
        <w:rPr/>
      </w:pPr>
      <w:r>
        <w:rPr/>
        <w:t>Core Transaction 2: Back-Office and Agency Management System</w:t>
      </w:r>
    </w:p>
    <w:p>
      <w:pPr>
        <w:pStyle w:val="BodyText"/>
        <w:bidi w:val="0"/>
        <w:spacing w:before="283" w:after="454"/>
        <w:ind w:hanging="0" w:left="283" w:right="283"/>
        <w:jc w:val="left"/>
        <w:rPr/>
      </w:pPr>
      <w:r>
        <w:rPr>
          <w:rStyle w:val="Strong"/>
          <w:shd w:fill="F0F4F8" w:val="clear"/>
        </w:rPr>
        <w:t>Audience:</w:t>
      </w:r>
      <w:r>
        <w:rPr>
          <w:shd w:fill="F0F4F8" w:val="clear"/>
        </w:rPr>
        <w:t xml:space="preserve"> owners, operators, deployment engineers, QA leads, and support staff</w:t>
      </w:r>
    </w:p>
    <w:p>
      <w:pPr>
        <w:pStyle w:val="BodyText"/>
        <w:bidi w:val="0"/>
        <w:spacing w:before="283" w:after="454"/>
        <w:ind w:hanging="0" w:left="283" w:right="283"/>
        <w:jc w:val="left"/>
        <w:rPr/>
      </w:pPr>
      <w:r>
        <w:rPr>
          <w:rStyle w:val="Strong"/>
          <w:shd w:fill="F0F4F8" w:val="clear"/>
        </w:rPr>
        <w:t>Application root:</w:t>
      </w:r>
      <w:r>
        <w:rPr>
          <w:shd w:fill="F0F4F8" w:val="clear"/>
        </w:rPr>
        <w:t xml:space="preserve"> </w:t>
      </w:r>
      <w:r>
        <w:rPr>
          <w:rStyle w:val="SourceText"/>
          <w:shd w:fill="F0F4F8" w:val="clear"/>
        </w:rPr>
        <w:t>ct2_back_office/</w:t>
      </w:r>
    </w:p>
    <w:p>
      <w:pPr>
        <w:pStyle w:val="BodyText"/>
        <w:bidi w:val="0"/>
        <w:spacing w:before="283" w:after="454"/>
        <w:ind w:hanging="0" w:left="283" w:right="283"/>
        <w:jc w:val="left"/>
        <w:rPr/>
      </w:pPr>
      <w:r>
        <w:rPr>
          <w:rStyle w:val="Strong"/>
          <w:shd w:fill="F0F4F8" w:val="clear"/>
        </w:rPr>
        <w:t>Entry point:</w:t>
      </w:r>
      <w:r>
        <w:rPr>
          <w:shd w:fill="F0F4F8" w:val="clear"/>
        </w:rPr>
        <w:t xml:space="preserve"> </w:t>
      </w:r>
      <w:r>
        <w:rPr>
          <w:rStyle w:val="SourceText"/>
          <w:shd w:fill="F0F4F8" w:val="clear"/>
        </w:rPr>
        <w:t>ct2_back_office/ct2_index.php</w:t>
      </w:r>
    </w:p>
    <w:p>
      <w:pPr>
        <w:pStyle w:val="BodyText"/>
        <w:bidi w:val="0"/>
        <w:spacing w:before="283" w:after="454"/>
        <w:ind w:hanging="0" w:left="283" w:right="283"/>
        <w:jc w:val="left"/>
        <w:rPr/>
      </w:pPr>
      <w:r>
        <w:rPr>
          <w:rStyle w:val="Strong"/>
          <w:shd w:fill="F0F4F8" w:val="clear"/>
        </w:rPr>
        <w:t>Release workflow:</w:t>
      </w:r>
      <w:r>
        <w:rPr>
          <w:shd w:fill="F0F4F8" w:val="clear"/>
        </w:rPr>
        <w:t xml:space="preserve"> </w:t>
      </w:r>
      <w:r>
        <w:rPr>
          <w:rStyle w:val="SourceText"/>
          <w:shd w:fill="F0F4F8" w:val="clear"/>
        </w:rPr>
        <w:t>.github/workflows/ct2_cpanel_release_pipeline.yml</w:t>
      </w:r>
    </w:p>
    <w:p>
      <w:pPr>
        <w:pStyle w:val="BodyText"/>
        <w:bidi w:val="0"/>
        <w:spacing w:before="283" w:after="454"/>
        <w:ind w:hanging="0" w:left="283" w:right="283"/>
        <w:jc w:val="left"/>
        <w:rPr/>
      </w:pPr>
      <w:r>
        <w:rPr>
          <w:rStyle w:val="Strong"/>
          <w:shd w:fill="F0F4F8" w:val="clear"/>
        </w:rPr>
        <w:t>Primary hosting model:</w:t>
      </w:r>
      <w:r>
        <w:rPr>
          <w:shd w:fill="F0F4F8" w:val="clear"/>
        </w:rPr>
        <w:t xml:space="preserve"> validated artifact deployment to cPanel with shared config and storage</w:t>
      </w:r>
    </w:p>
    <w:p>
      <w:pPr>
        <w:pStyle w:val="Heading2"/>
        <w:bidi w:val="0"/>
        <w:ind w:hanging="0"/>
        <w:jc w:val="left"/>
        <w:rPr/>
      </w:pPr>
      <w:r>
        <w:rPr/>
        <w:t>1. Executive Overview</w:t>
      </w:r>
    </w:p>
    <w:p>
      <w:pPr>
        <w:pStyle w:val="BodyText"/>
        <w:bidi w:val="0"/>
        <w:jc w:val="left"/>
        <w:rPr/>
      </w:pPr>
      <w:r>
        <w:rPr/>
        <w:t xml:space="preserve">CT2 is the back-office operating layer for travel-and-tours processing. It gives staff a controlled browser and API surface for operational work across agents, suppliers, approvals, availability, marketing, visa operations, staff administration, and financial reporting. CT2 is not the owner of every business record in the wider ERP. It is designed to reference upstream records where necessary while keeping ownership of its own workflow, approval, audit, reporting, and operational state. </w:t>
      </w:r>
    </w:p>
    <w:p>
      <w:pPr>
        <w:pStyle w:val="BodyText"/>
        <w:bidi w:val="0"/>
        <w:jc w:val="left"/>
        <w:rPr/>
      </w:pPr>
      <w:r>
        <w:rPr/>
        <w:t xml:space="preserve">In practice, CT2 acts as the controlled execution layer between source systems and human operators. The system is optimized for internal users, not for anonymous public traffic, and its deployment and release process is built around a strict validation gate, artifact packaging, and cPanel deployment over SSH. </w:t>
      </w:r>
    </w:p>
    <w:p>
      <w:pPr>
        <w:pStyle w:val="Heading2"/>
        <w:bidi w:val="0"/>
        <w:jc w:val="left"/>
        <w:rPr/>
      </w:pPr>
      <w:r>
        <w:rPr/>
        <w:t>2. System Boundaries</w:t>
      </w:r>
    </w:p>
    <w:p>
      <w:pPr>
        <w:pStyle w:val="Heading3"/>
        <w:bidi w:val="0"/>
        <w:jc w:val="left"/>
        <w:rPr/>
      </w:pPr>
      <w:r>
        <w:rPr/>
        <w:t>What CT2 owns</w:t>
      </w:r>
    </w:p>
    <w:p>
      <w:pPr>
        <w:pStyle w:val="BodyText"/>
        <w:numPr>
          <w:ilvl w:val="0"/>
          <w:numId w:val="1"/>
        </w:numPr>
        <w:tabs>
          <w:tab w:val="clear" w:pos="1134"/>
          <w:tab w:val="left" w:pos="1956" w:leader="none"/>
        </w:tabs>
        <w:bidi w:val="0"/>
        <w:spacing w:before="0" w:after="0"/>
        <w:ind w:hanging="283" w:left="1956"/>
        <w:jc w:val="left"/>
        <w:rPr/>
      </w:pPr>
      <w:r>
        <w:rPr/>
        <w:t xml:space="preserve">Back-office workflow state for agents, suppliers, staffing, availability, marketing, visa cases, and approvals </w:t>
      </w:r>
    </w:p>
    <w:p>
      <w:pPr>
        <w:pStyle w:val="BodyText"/>
        <w:numPr>
          <w:ilvl w:val="0"/>
          <w:numId w:val="1"/>
        </w:numPr>
        <w:tabs>
          <w:tab w:val="clear" w:pos="1134"/>
          <w:tab w:val="left" w:pos="1956" w:leader="none"/>
        </w:tabs>
        <w:bidi w:val="0"/>
        <w:spacing w:before="0" w:after="0"/>
        <w:ind w:hanging="283" w:left="1956"/>
        <w:jc w:val="left"/>
        <w:rPr/>
      </w:pPr>
      <w:r>
        <w:rPr/>
        <w:t xml:space="preserve">Internal audit logs, approval decisions, relationship notes, KPI notes, report definitions, and operational uploads </w:t>
      </w:r>
    </w:p>
    <w:p>
      <w:pPr>
        <w:pStyle w:val="BodyText"/>
        <w:numPr>
          <w:ilvl w:val="0"/>
          <w:numId w:val="1"/>
        </w:numPr>
        <w:tabs>
          <w:tab w:val="clear" w:pos="1134"/>
          <w:tab w:val="left" w:pos="1956" w:leader="none"/>
        </w:tabs>
        <w:bidi w:val="0"/>
        <w:ind w:hanging="283" w:left="1956"/>
        <w:jc w:val="left"/>
        <w:rPr/>
      </w:pPr>
      <w:r>
        <w:rPr/>
        <w:t xml:space="preserve">Session-based browser authentication and the CT2 browser/API permission model </w:t>
      </w:r>
    </w:p>
    <w:p>
      <w:pPr>
        <w:pStyle w:val="Heading3"/>
        <w:bidi w:val="0"/>
        <w:jc w:val="left"/>
        <w:rPr/>
      </w:pPr>
      <w:r>
        <w:rPr/>
        <w:t>What CT2 does not own</w:t>
      </w:r>
    </w:p>
    <w:p>
      <w:pPr>
        <w:pStyle w:val="BodyText"/>
        <w:numPr>
          <w:ilvl w:val="0"/>
          <w:numId w:val="2"/>
        </w:numPr>
        <w:tabs>
          <w:tab w:val="clear" w:pos="1134"/>
          <w:tab w:val="left" w:pos="1956" w:leader="none"/>
        </w:tabs>
        <w:bidi w:val="0"/>
        <w:spacing w:before="0" w:after="0"/>
        <w:ind w:hanging="283" w:left="1956"/>
        <w:jc w:val="left"/>
        <w:rPr/>
      </w:pPr>
      <w:r>
        <w:rPr/>
        <w:t xml:space="preserve">CT1 or other upstream booking-origin records </w:t>
      </w:r>
    </w:p>
    <w:p>
      <w:pPr>
        <w:pStyle w:val="BodyText"/>
        <w:numPr>
          <w:ilvl w:val="0"/>
          <w:numId w:val="2"/>
        </w:numPr>
        <w:tabs>
          <w:tab w:val="clear" w:pos="1134"/>
          <w:tab w:val="left" w:pos="1956" w:leader="none"/>
        </w:tabs>
        <w:bidi w:val="0"/>
        <w:spacing w:before="0" w:after="0"/>
        <w:ind w:hanging="283" w:left="1956"/>
        <w:jc w:val="left"/>
        <w:rPr/>
      </w:pPr>
      <w:r>
        <w:rPr/>
        <w:t xml:space="preserve">Customer master data managed in external systems </w:t>
      </w:r>
    </w:p>
    <w:p>
      <w:pPr>
        <w:pStyle w:val="BodyText"/>
        <w:numPr>
          <w:ilvl w:val="0"/>
          <w:numId w:val="2"/>
        </w:numPr>
        <w:tabs>
          <w:tab w:val="clear" w:pos="1134"/>
          <w:tab w:val="left" w:pos="1956" w:leader="none"/>
        </w:tabs>
        <w:bidi w:val="0"/>
        <w:spacing w:before="0" w:after="0"/>
        <w:ind w:hanging="283" w:left="1956"/>
        <w:jc w:val="left"/>
        <w:rPr/>
      </w:pPr>
      <w:r>
        <w:rPr/>
        <w:t xml:space="preserve">External payment platforms and authoritative finance ledgers </w:t>
      </w:r>
    </w:p>
    <w:p>
      <w:pPr>
        <w:pStyle w:val="BodyText"/>
        <w:numPr>
          <w:ilvl w:val="0"/>
          <w:numId w:val="2"/>
        </w:numPr>
        <w:tabs>
          <w:tab w:val="clear" w:pos="1134"/>
          <w:tab w:val="left" w:pos="1956" w:leader="none"/>
        </w:tabs>
        <w:bidi w:val="0"/>
        <w:ind w:hanging="283" w:left="1956"/>
        <w:jc w:val="left"/>
        <w:rPr/>
      </w:pPr>
      <w:r>
        <w:rPr/>
        <w:t xml:space="preserve">Third-party identity or SSO ownership </w:t>
      </w:r>
    </w:p>
    <w:p>
      <w:pPr>
        <w:pStyle w:val="BodyText"/>
        <w:bidi w:val="0"/>
        <w:spacing w:before="255" w:after="255"/>
        <w:ind w:hanging="0" w:left="255" w:right="255"/>
        <w:jc w:val="left"/>
        <w:rPr/>
      </w:pPr>
      <w:r>
        <w:rPr>
          <w:rStyle w:val="Strong"/>
          <w:bdr w:val="single" w:sz="24" w:space="11" w:color="F0B429"/>
          <w:shd w:fill="FFFBEA" w:val="clear"/>
        </w:rPr>
        <w:t>Boundary rule:</w:t>
      </w:r>
      <w:r>
        <w:rPr>
          <w:bdr w:val="single" w:sz="24" w:space="11" w:color="F0B429"/>
          <w:shd w:fill="FFFBEA" w:val="clear"/>
        </w:rPr>
        <w:t xml:space="preserve"> when CT2 stores a booking ID, customer ID, supplier reference, or payment reference, it is storing a linkage pointer, not taking ownership of the source record. </w:t>
      </w:r>
    </w:p>
    <w:p>
      <w:pPr>
        <w:pStyle w:val="Heading2"/>
        <w:bidi w:val="0"/>
        <w:jc w:val="left"/>
        <w:rPr/>
      </w:pPr>
      <w:r>
        <w:rPr/>
        <w:t>3. Architecture And Runtime Model</w:t>
      </w:r>
    </w:p>
    <w:tbl>
      <w:tblPr>
        <w:tblW w:w="8229" w:type="dxa"/>
        <w:jc w:val="left"/>
        <w:tblInd w:w="0" w:type="dxa"/>
        <w:tblLayout w:type="fixed"/>
        <w:tblCellMar>
          <w:top w:w="28" w:type="dxa"/>
          <w:left w:w="28" w:type="dxa"/>
          <w:bottom w:w="28" w:type="dxa"/>
          <w:right w:w="28" w:type="dxa"/>
        </w:tblCellMar>
      </w:tblPr>
      <w:tblGrid>
        <w:gridCol w:w="2538"/>
        <w:gridCol w:w="2898"/>
        <w:gridCol w:w="2793"/>
      </w:tblGrid>
      <w:tr>
        <w:trPr>
          <w:tblHeader w:val="true"/>
        </w:trPr>
        <w:tc>
          <w:tcPr>
            <w:tcW w:w="2538" w:type="dxa"/>
            <w:tcBorders/>
            <w:vAlign w:val="center"/>
          </w:tcPr>
          <w:p>
            <w:pPr>
              <w:pStyle w:val="TableHeading"/>
              <w:suppressLineNumbers/>
              <w:bidi w:val="0"/>
              <w:spacing w:before="0" w:after="283"/>
              <w:jc w:val="center"/>
              <w:rPr/>
            </w:pPr>
            <w:r>
              <w:rPr/>
              <w:t>Layer</w:t>
            </w:r>
          </w:p>
        </w:tc>
        <w:tc>
          <w:tcPr>
            <w:tcW w:w="2898" w:type="dxa"/>
            <w:tcBorders/>
            <w:vAlign w:val="center"/>
          </w:tcPr>
          <w:p>
            <w:pPr>
              <w:pStyle w:val="TableHeading"/>
              <w:suppressLineNumbers/>
              <w:bidi w:val="0"/>
              <w:spacing w:before="0" w:after="283"/>
              <w:jc w:val="center"/>
              <w:rPr/>
            </w:pPr>
            <w:r>
              <w:rPr/>
              <w:t>Current implementation</w:t>
            </w:r>
          </w:p>
        </w:tc>
        <w:tc>
          <w:tcPr>
            <w:tcW w:w="2793" w:type="dxa"/>
            <w:tcBorders/>
            <w:vAlign w:val="center"/>
          </w:tcPr>
          <w:p>
            <w:pPr>
              <w:pStyle w:val="TableHeading"/>
              <w:suppressLineNumbers/>
              <w:bidi w:val="0"/>
              <w:spacing w:before="0" w:after="283"/>
              <w:jc w:val="center"/>
              <w:rPr/>
            </w:pPr>
            <w:r>
              <w:rPr/>
              <w:t>Operational meaning</w:t>
            </w:r>
          </w:p>
        </w:tc>
      </w:tr>
      <w:tr>
        <w:trPr/>
        <w:tc>
          <w:tcPr>
            <w:tcW w:w="2538" w:type="dxa"/>
            <w:tcBorders/>
            <w:vAlign w:val="center"/>
          </w:tcPr>
          <w:p>
            <w:pPr>
              <w:pStyle w:val="TableContents"/>
              <w:bidi w:val="0"/>
              <w:spacing w:before="0" w:after="283"/>
              <w:jc w:val="left"/>
              <w:rPr/>
            </w:pPr>
            <w:r>
              <w:rPr/>
              <w:t>Presentation</w:t>
            </w:r>
          </w:p>
        </w:tc>
        <w:tc>
          <w:tcPr>
            <w:tcW w:w="2898" w:type="dxa"/>
            <w:tcBorders/>
            <w:vAlign w:val="center"/>
          </w:tcPr>
          <w:p>
            <w:pPr>
              <w:pStyle w:val="TableContents"/>
              <w:bidi w:val="0"/>
              <w:spacing w:before="0" w:after="283"/>
              <w:jc w:val="left"/>
              <w:rPr/>
            </w:pPr>
            <w:r>
              <w:rPr/>
              <w:t xml:space="preserve">Vanilla PHP views in </w:t>
            </w:r>
            <w:r>
              <w:rPr>
                <w:rStyle w:val="SourceText"/>
              </w:rPr>
              <w:t>ct2_back_office/views/</w:t>
            </w:r>
          </w:p>
        </w:tc>
        <w:tc>
          <w:tcPr>
            <w:tcW w:w="2793" w:type="dxa"/>
            <w:tcBorders/>
            <w:vAlign w:val="center"/>
          </w:tcPr>
          <w:p>
            <w:pPr>
              <w:pStyle w:val="TableContents"/>
              <w:bidi w:val="0"/>
              <w:spacing w:before="0" w:after="283"/>
              <w:jc w:val="left"/>
              <w:rPr/>
            </w:pPr>
            <w:r>
              <w:rPr/>
              <w:t>Browser-facing modules render directly through PHP without a framework build step</w:t>
            </w:r>
          </w:p>
        </w:tc>
      </w:tr>
      <w:tr>
        <w:trPr/>
        <w:tc>
          <w:tcPr>
            <w:tcW w:w="2538" w:type="dxa"/>
            <w:tcBorders/>
            <w:vAlign w:val="center"/>
          </w:tcPr>
          <w:p>
            <w:pPr>
              <w:pStyle w:val="TableContents"/>
              <w:bidi w:val="0"/>
              <w:spacing w:before="0" w:after="283"/>
              <w:jc w:val="left"/>
              <w:rPr/>
            </w:pPr>
            <w:r>
              <w:rPr/>
              <w:t>Routing</w:t>
            </w:r>
          </w:p>
        </w:tc>
        <w:tc>
          <w:tcPr>
            <w:tcW w:w="2898" w:type="dxa"/>
            <w:tcBorders/>
            <w:vAlign w:val="center"/>
          </w:tcPr>
          <w:p>
            <w:pPr>
              <w:pStyle w:val="TableContents"/>
              <w:bidi w:val="0"/>
              <w:spacing w:before="0" w:after="283"/>
              <w:jc w:val="left"/>
              <w:rPr/>
            </w:pPr>
            <w:r>
              <w:rPr>
                <w:rStyle w:val="SourceText"/>
              </w:rPr>
              <w:t>ct2_back_office/ct2_index.php</w:t>
            </w:r>
          </w:p>
        </w:tc>
        <w:tc>
          <w:tcPr>
            <w:tcW w:w="2793" w:type="dxa"/>
            <w:tcBorders/>
            <w:vAlign w:val="center"/>
          </w:tcPr>
          <w:p>
            <w:pPr>
              <w:pStyle w:val="TableContents"/>
              <w:bidi w:val="0"/>
              <w:spacing w:before="0" w:after="283"/>
              <w:jc w:val="left"/>
              <w:rPr/>
            </w:pPr>
            <w:r>
              <w:rPr/>
              <w:t xml:space="preserve">Module and action are selected through query parameters such as </w:t>
            </w:r>
            <w:r>
              <w:rPr>
                <w:rStyle w:val="SourceText"/>
              </w:rPr>
              <w:t>?module=auth&amp;action=login</w:t>
            </w:r>
          </w:p>
        </w:tc>
      </w:tr>
      <w:tr>
        <w:trPr/>
        <w:tc>
          <w:tcPr>
            <w:tcW w:w="2538" w:type="dxa"/>
            <w:tcBorders/>
            <w:vAlign w:val="center"/>
          </w:tcPr>
          <w:p>
            <w:pPr>
              <w:pStyle w:val="TableContents"/>
              <w:bidi w:val="0"/>
              <w:spacing w:before="0" w:after="283"/>
              <w:jc w:val="left"/>
              <w:rPr/>
            </w:pPr>
            <w:r>
              <w:rPr/>
              <w:t>Controllers</w:t>
            </w:r>
          </w:p>
        </w:tc>
        <w:tc>
          <w:tcPr>
            <w:tcW w:w="2898" w:type="dxa"/>
            <w:tcBorders/>
            <w:vAlign w:val="center"/>
          </w:tcPr>
          <w:p>
            <w:pPr>
              <w:pStyle w:val="TableContents"/>
              <w:bidi w:val="0"/>
              <w:spacing w:before="0" w:after="283"/>
              <w:jc w:val="left"/>
              <w:rPr/>
            </w:pPr>
            <w:r>
              <w:rPr>
                <w:rStyle w:val="SourceText"/>
              </w:rPr>
              <w:t>ct2_back_office/controllers/</w:t>
            </w:r>
          </w:p>
        </w:tc>
        <w:tc>
          <w:tcPr>
            <w:tcW w:w="2793" w:type="dxa"/>
            <w:tcBorders/>
            <w:vAlign w:val="center"/>
          </w:tcPr>
          <w:p>
            <w:pPr>
              <w:pStyle w:val="TableContents"/>
              <w:bidi w:val="0"/>
              <w:spacing w:before="0" w:after="283"/>
              <w:jc w:val="left"/>
              <w:rPr/>
            </w:pPr>
            <w:r>
              <w:rPr/>
              <w:t>Controllers coordinate request validation, permissions, model calls, and rendering</w:t>
            </w:r>
          </w:p>
        </w:tc>
      </w:tr>
      <w:tr>
        <w:trPr/>
        <w:tc>
          <w:tcPr>
            <w:tcW w:w="2538" w:type="dxa"/>
            <w:tcBorders/>
            <w:vAlign w:val="center"/>
          </w:tcPr>
          <w:p>
            <w:pPr>
              <w:pStyle w:val="TableContents"/>
              <w:bidi w:val="0"/>
              <w:spacing w:before="0" w:after="283"/>
              <w:jc w:val="left"/>
              <w:rPr/>
            </w:pPr>
            <w:r>
              <w:rPr/>
              <w:t>Models</w:t>
            </w:r>
          </w:p>
        </w:tc>
        <w:tc>
          <w:tcPr>
            <w:tcW w:w="2898" w:type="dxa"/>
            <w:tcBorders/>
            <w:vAlign w:val="center"/>
          </w:tcPr>
          <w:p>
            <w:pPr>
              <w:pStyle w:val="TableContents"/>
              <w:bidi w:val="0"/>
              <w:spacing w:before="0" w:after="283"/>
              <w:jc w:val="left"/>
              <w:rPr/>
            </w:pPr>
            <w:r>
              <w:rPr>
                <w:rStyle w:val="SourceText"/>
              </w:rPr>
              <w:t>ct2_back_office/models/</w:t>
            </w:r>
          </w:p>
        </w:tc>
        <w:tc>
          <w:tcPr>
            <w:tcW w:w="2793" w:type="dxa"/>
            <w:tcBorders/>
            <w:vAlign w:val="center"/>
          </w:tcPr>
          <w:p>
            <w:pPr>
              <w:pStyle w:val="TableContents"/>
              <w:bidi w:val="0"/>
              <w:spacing w:before="0" w:after="283"/>
              <w:jc w:val="left"/>
              <w:rPr/>
            </w:pPr>
            <w:r>
              <w:rPr/>
              <w:t>Models encapsulate MySQL persistence and reporting reads/writes</w:t>
            </w:r>
          </w:p>
        </w:tc>
      </w:tr>
      <w:tr>
        <w:trPr/>
        <w:tc>
          <w:tcPr>
            <w:tcW w:w="2538" w:type="dxa"/>
            <w:tcBorders/>
            <w:vAlign w:val="center"/>
          </w:tcPr>
          <w:p>
            <w:pPr>
              <w:pStyle w:val="TableContents"/>
              <w:bidi w:val="0"/>
              <w:spacing w:before="0" w:after="283"/>
              <w:jc w:val="left"/>
              <w:rPr/>
            </w:pPr>
            <w:r>
              <w:rPr/>
              <w:t>API surface</w:t>
            </w:r>
          </w:p>
        </w:tc>
        <w:tc>
          <w:tcPr>
            <w:tcW w:w="2898" w:type="dxa"/>
            <w:tcBorders/>
            <w:vAlign w:val="center"/>
          </w:tcPr>
          <w:p>
            <w:pPr>
              <w:pStyle w:val="TableContents"/>
              <w:bidi w:val="0"/>
              <w:spacing w:before="0" w:after="283"/>
              <w:jc w:val="left"/>
              <w:rPr/>
            </w:pPr>
            <w:r>
              <w:rPr>
                <w:rStyle w:val="SourceText"/>
              </w:rPr>
              <w:t>ct2_back_office/api/</w:t>
            </w:r>
          </w:p>
        </w:tc>
        <w:tc>
          <w:tcPr>
            <w:tcW w:w="2793" w:type="dxa"/>
            <w:tcBorders/>
            <w:vAlign w:val="center"/>
          </w:tcPr>
          <w:p>
            <w:pPr>
              <w:pStyle w:val="TableContents"/>
              <w:bidi w:val="0"/>
              <w:spacing w:before="0" w:after="283"/>
              <w:jc w:val="left"/>
              <w:rPr/>
            </w:pPr>
            <w:r>
              <w:rPr/>
              <w:t>JSON endpoints mirror protected CT2 operations for scripted or AJAX use</w:t>
            </w:r>
          </w:p>
        </w:tc>
      </w:tr>
      <w:tr>
        <w:trPr/>
        <w:tc>
          <w:tcPr>
            <w:tcW w:w="2538" w:type="dxa"/>
            <w:tcBorders/>
            <w:vAlign w:val="center"/>
          </w:tcPr>
          <w:p>
            <w:pPr>
              <w:pStyle w:val="TableContents"/>
              <w:bidi w:val="0"/>
              <w:spacing w:before="0" w:after="283"/>
              <w:jc w:val="left"/>
              <w:rPr/>
            </w:pPr>
            <w:r>
              <w:rPr/>
              <w:t>Runtime bootstrap</w:t>
            </w:r>
          </w:p>
        </w:tc>
        <w:tc>
          <w:tcPr>
            <w:tcW w:w="2898" w:type="dxa"/>
            <w:tcBorders/>
            <w:vAlign w:val="center"/>
          </w:tcPr>
          <w:p>
            <w:pPr>
              <w:pStyle w:val="TableContents"/>
              <w:bidi w:val="0"/>
              <w:spacing w:before="0" w:after="283"/>
              <w:jc w:val="left"/>
              <w:rPr/>
            </w:pPr>
            <w:r>
              <w:rPr>
                <w:rStyle w:val="SourceText"/>
              </w:rPr>
              <w:t>ct2_back_office/config/ct2_bootstrap.php</w:t>
            </w:r>
          </w:p>
        </w:tc>
        <w:tc>
          <w:tcPr>
            <w:tcW w:w="2793" w:type="dxa"/>
            <w:tcBorders/>
            <w:vAlign w:val="center"/>
          </w:tcPr>
          <w:p>
            <w:pPr>
              <w:pStyle w:val="TableContents"/>
              <w:bidi w:val="0"/>
              <w:spacing w:before="0" w:after="283"/>
              <w:jc w:val="left"/>
              <w:rPr/>
            </w:pPr>
            <w:r>
              <w:rPr/>
              <w:t>Starts sessions, loads config, enforces shared helpers, CSRF, auth, and error handling</w:t>
            </w:r>
          </w:p>
        </w:tc>
      </w:tr>
      <w:tr>
        <w:trPr/>
        <w:tc>
          <w:tcPr>
            <w:tcW w:w="2538" w:type="dxa"/>
            <w:tcBorders/>
            <w:vAlign w:val="center"/>
          </w:tcPr>
          <w:p>
            <w:pPr>
              <w:pStyle w:val="TableContents"/>
              <w:bidi w:val="0"/>
              <w:spacing w:before="0" w:after="283"/>
              <w:jc w:val="left"/>
              <w:rPr/>
            </w:pPr>
            <w:r>
              <w:rPr/>
              <w:t>Database</w:t>
            </w:r>
          </w:p>
        </w:tc>
        <w:tc>
          <w:tcPr>
            <w:tcW w:w="2898" w:type="dxa"/>
            <w:tcBorders/>
            <w:vAlign w:val="center"/>
          </w:tcPr>
          <w:p>
            <w:pPr>
              <w:pStyle w:val="TableContents"/>
              <w:bidi w:val="0"/>
              <w:spacing w:before="0" w:after="283"/>
              <w:jc w:val="left"/>
              <w:rPr/>
            </w:pPr>
            <w:r>
              <w:rPr/>
              <w:t xml:space="preserve">MySQL or MariaDB seeded from </w:t>
            </w:r>
            <w:r>
              <w:rPr>
                <w:rStyle w:val="SourceText"/>
              </w:rPr>
              <w:t>ct2_back_office/ct2_setup.sql</w:t>
            </w:r>
          </w:p>
        </w:tc>
        <w:tc>
          <w:tcPr>
            <w:tcW w:w="2793" w:type="dxa"/>
            <w:tcBorders/>
            <w:vAlign w:val="center"/>
          </w:tcPr>
          <w:p>
            <w:pPr>
              <w:pStyle w:val="TableContents"/>
              <w:bidi w:val="0"/>
              <w:spacing w:before="0" w:after="283"/>
              <w:jc w:val="left"/>
              <w:rPr/>
            </w:pPr>
            <w:r>
              <w:rPr/>
              <w:t>Provides schema, roles, demo users, and baseline validation data</w:t>
            </w:r>
          </w:p>
        </w:tc>
      </w:tr>
      <w:tr>
        <w:trPr/>
        <w:tc>
          <w:tcPr>
            <w:tcW w:w="2538" w:type="dxa"/>
            <w:tcBorders/>
            <w:vAlign w:val="center"/>
          </w:tcPr>
          <w:p>
            <w:pPr>
              <w:pStyle w:val="TableContents"/>
              <w:bidi w:val="0"/>
              <w:spacing w:before="0" w:after="283"/>
              <w:jc w:val="left"/>
              <w:rPr/>
            </w:pPr>
            <w:r>
              <w:rPr/>
              <w:t>Writable state</w:t>
            </w:r>
          </w:p>
        </w:tc>
        <w:tc>
          <w:tcPr>
            <w:tcW w:w="2898" w:type="dxa"/>
            <w:tcBorders/>
            <w:vAlign w:val="center"/>
          </w:tcPr>
          <w:p>
            <w:pPr>
              <w:pStyle w:val="TableContents"/>
              <w:bidi w:val="0"/>
              <w:spacing w:before="0" w:after="283"/>
              <w:jc w:val="left"/>
              <w:rPr/>
            </w:pPr>
            <w:r>
              <w:rPr>
                <w:rStyle w:val="SourceText"/>
              </w:rPr>
              <w:t>storage/sessions/</w:t>
            </w:r>
            <w:r>
              <w:rPr/>
              <w:t xml:space="preserve"> and </w:t>
            </w:r>
            <w:r>
              <w:rPr>
                <w:rStyle w:val="SourceText"/>
              </w:rPr>
              <w:t>storage/uploads/</w:t>
            </w:r>
          </w:p>
        </w:tc>
        <w:tc>
          <w:tcPr>
            <w:tcW w:w="2793" w:type="dxa"/>
            <w:tcBorders/>
            <w:vAlign w:val="center"/>
          </w:tcPr>
          <w:p>
            <w:pPr>
              <w:pStyle w:val="TableContents"/>
              <w:bidi w:val="0"/>
              <w:spacing w:before="0" w:after="283"/>
              <w:jc w:val="left"/>
              <w:rPr/>
            </w:pPr>
            <w:r>
              <w:rPr/>
              <w:t>Must stay writable and outside version control; in cPanel they are linked from shared storage</w:t>
            </w:r>
          </w:p>
        </w:tc>
      </w:tr>
    </w:tbl>
    <w:p>
      <w:pPr>
        <w:pStyle w:val="Heading2"/>
        <w:bidi w:val="0"/>
        <w:jc w:val="left"/>
        <w:rPr/>
      </w:pPr>
      <w:r>
        <w:rPr/>
        <w:t>4. Primary Modules And Their Operational Workflow</w:t>
      </w:r>
    </w:p>
    <w:tbl>
      <w:tblPr>
        <w:tblW w:w="8229" w:type="dxa"/>
        <w:jc w:val="left"/>
        <w:tblInd w:w="0" w:type="dxa"/>
        <w:tblLayout w:type="fixed"/>
        <w:tblCellMar>
          <w:top w:w="28" w:type="dxa"/>
          <w:left w:w="28" w:type="dxa"/>
          <w:bottom w:w="28" w:type="dxa"/>
          <w:right w:w="28" w:type="dxa"/>
        </w:tblCellMar>
      </w:tblPr>
      <w:tblGrid>
        <w:gridCol w:w="2388"/>
        <w:gridCol w:w="2816"/>
        <w:gridCol w:w="3025"/>
      </w:tblGrid>
      <w:tr>
        <w:trPr>
          <w:tblHeader w:val="true"/>
        </w:trPr>
        <w:tc>
          <w:tcPr>
            <w:tcW w:w="2388" w:type="dxa"/>
            <w:tcBorders/>
            <w:vAlign w:val="center"/>
          </w:tcPr>
          <w:p>
            <w:pPr>
              <w:pStyle w:val="TableHeading"/>
              <w:suppressLineNumbers/>
              <w:bidi w:val="0"/>
              <w:spacing w:before="0" w:after="283"/>
              <w:jc w:val="center"/>
              <w:rPr/>
            </w:pPr>
            <w:r>
              <w:rPr/>
              <w:t>Module</w:t>
            </w:r>
          </w:p>
        </w:tc>
        <w:tc>
          <w:tcPr>
            <w:tcW w:w="2816" w:type="dxa"/>
            <w:tcBorders/>
            <w:vAlign w:val="center"/>
          </w:tcPr>
          <w:p>
            <w:pPr>
              <w:pStyle w:val="TableHeading"/>
              <w:suppressLineNumbers/>
              <w:bidi w:val="0"/>
              <w:spacing w:before="0" w:after="283"/>
              <w:jc w:val="center"/>
              <w:rPr/>
            </w:pPr>
            <w:r>
              <w:rPr/>
              <w:t>Operational purpose</w:t>
            </w:r>
          </w:p>
        </w:tc>
        <w:tc>
          <w:tcPr>
            <w:tcW w:w="3025" w:type="dxa"/>
            <w:tcBorders/>
            <w:vAlign w:val="center"/>
          </w:tcPr>
          <w:p>
            <w:pPr>
              <w:pStyle w:val="TableHeading"/>
              <w:suppressLineNumbers/>
              <w:bidi w:val="0"/>
              <w:spacing w:before="0" w:after="283"/>
              <w:jc w:val="center"/>
              <w:rPr/>
            </w:pPr>
            <w:r>
              <w:rPr/>
              <w:t>Typical process flow</w:t>
            </w:r>
          </w:p>
        </w:tc>
      </w:tr>
      <w:tr>
        <w:trPr/>
        <w:tc>
          <w:tcPr>
            <w:tcW w:w="2388" w:type="dxa"/>
            <w:tcBorders/>
            <w:vAlign w:val="center"/>
          </w:tcPr>
          <w:p>
            <w:pPr>
              <w:pStyle w:val="TableContents"/>
              <w:bidi w:val="0"/>
              <w:spacing w:before="0" w:after="283"/>
              <w:jc w:val="left"/>
              <w:rPr/>
            </w:pPr>
            <w:r>
              <w:rPr/>
              <w:t>Dashboard</w:t>
            </w:r>
          </w:p>
        </w:tc>
        <w:tc>
          <w:tcPr>
            <w:tcW w:w="2816" w:type="dxa"/>
            <w:tcBorders/>
            <w:vAlign w:val="center"/>
          </w:tcPr>
          <w:p>
            <w:pPr>
              <w:pStyle w:val="TableContents"/>
              <w:bidi w:val="0"/>
              <w:spacing w:before="0" w:after="283"/>
              <w:jc w:val="left"/>
              <w:rPr/>
            </w:pPr>
            <w:r>
              <w:rPr/>
              <w:t>Operational summary and queue visibility</w:t>
            </w:r>
          </w:p>
        </w:tc>
        <w:tc>
          <w:tcPr>
            <w:tcW w:w="3025" w:type="dxa"/>
            <w:tcBorders/>
            <w:vAlign w:val="center"/>
          </w:tcPr>
          <w:p>
            <w:pPr>
              <w:pStyle w:val="TableContents"/>
              <w:bidi w:val="0"/>
              <w:spacing w:before="0" w:after="283"/>
              <w:jc w:val="left"/>
              <w:rPr/>
            </w:pPr>
            <w:r>
              <w:rPr/>
              <w:t>Login, review counts and exceptions, identify pending work, drill into the owning module</w:t>
            </w:r>
          </w:p>
        </w:tc>
      </w:tr>
      <w:tr>
        <w:trPr/>
        <w:tc>
          <w:tcPr>
            <w:tcW w:w="2388" w:type="dxa"/>
            <w:tcBorders/>
            <w:vAlign w:val="center"/>
          </w:tcPr>
          <w:p>
            <w:pPr>
              <w:pStyle w:val="TableContents"/>
              <w:bidi w:val="0"/>
              <w:spacing w:before="0" w:after="283"/>
              <w:jc w:val="left"/>
              <w:rPr/>
            </w:pPr>
            <w:r>
              <w:rPr/>
              <w:t>Agents</w:t>
            </w:r>
          </w:p>
        </w:tc>
        <w:tc>
          <w:tcPr>
            <w:tcW w:w="2816" w:type="dxa"/>
            <w:tcBorders/>
            <w:vAlign w:val="center"/>
          </w:tcPr>
          <w:p>
            <w:pPr>
              <w:pStyle w:val="TableContents"/>
              <w:bidi w:val="0"/>
              <w:spacing w:before="0" w:after="283"/>
              <w:jc w:val="left"/>
              <w:rPr/>
            </w:pPr>
            <w:r>
              <w:rPr/>
              <w:t>Back-office registry of agency relationships and assignments</w:t>
            </w:r>
          </w:p>
        </w:tc>
        <w:tc>
          <w:tcPr>
            <w:tcW w:w="3025" w:type="dxa"/>
            <w:tcBorders/>
            <w:vAlign w:val="center"/>
          </w:tcPr>
          <w:p>
            <w:pPr>
              <w:pStyle w:val="TableContents"/>
              <w:bidi w:val="0"/>
              <w:spacing w:before="0" w:after="283"/>
              <w:jc w:val="left"/>
              <w:rPr/>
            </w:pPr>
            <w:r>
              <w:rPr/>
              <w:t>Create or update agent records, link staff assignments, review approvals, monitor bookings and commissions</w:t>
            </w:r>
          </w:p>
        </w:tc>
      </w:tr>
      <w:tr>
        <w:trPr/>
        <w:tc>
          <w:tcPr>
            <w:tcW w:w="2388" w:type="dxa"/>
            <w:tcBorders/>
            <w:vAlign w:val="center"/>
          </w:tcPr>
          <w:p>
            <w:pPr>
              <w:pStyle w:val="TableContents"/>
              <w:bidi w:val="0"/>
              <w:spacing w:before="0" w:after="283"/>
              <w:jc w:val="left"/>
              <w:rPr/>
            </w:pPr>
            <w:r>
              <w:rPr/>
              <w:t>Suppliers</w:t>
            </w:r>
          </w:p>
        </w:tc>
        <w:tc>
          <w:tcPr>
            <w:tcW w:w="2816" w:type="dxa"/>
            <w:tcBorders/>
            <w:vAlign w:val="center"/>
          </w:tcPr>
          <w:p>
            <w:pPr>
              <w:pStyle w:val="TableContents"/>
              <w:bidi w:val="0"/>
              <w:spacing w:before="0" w:after="283"/>
              <w:jc w:val="left"/>
              <w:rPr/>
            </w:pPr>
            <w:r>
              <w:rPr/>
              <w:t>Partner onboarding, contracts, KPI tracking, and relationship notes</w:t>
            </w:r>
          </w:p>
        </w:tc>
        <w:tc>
          <w:tcPr>
            <w:tcW w:w="3025" w:type="dxa"/>
            <w:tcBorders/>
            <w:vAlign w:val="center"/>
          </w:tcPr>
          <w:p>
            <w:pPr>
              <w:pStyle w:val="TableContents"/>
              <w:bidi w:val="0"/>
              <w:spacing w:before="0" w:after="283"/>
              <w:jc w:val="left"/>
              <w:rPr/>
            </w:pPr>
            <w:r>
              <w:rPr/>
              <w:t>Review supplier readiness, update onboarding blockers, inspect contracts and KPIs, add notes, move records through approval</w:t>
            </w:r>
          </w:p>
        </w:tc>
      </w:tr>
      <w:tr>
        <w:trPr/>
        <w:tc>
          <w:tcPr>
            <w:tcW w:w="2388" w:type="dxa"/>
            <w:tcBorders/>
            <w:vAlign w:val="center"/>
          </w:tcPr>
          <w:p>
            <w:pPr>
              <w:pStyle w:val="TableContents"/>
              <w:bidi w:val="0"/>
              <w:spacing w:before="0" w:after="283"/>
              <w:jc w:val="left"/>
              <w:rPr/>
            </w:pPr>
            <w:r>
              <w:rPr/>
              <w:t>Availability</w:t>
            </w:r>
          </w:p>
        </w:tc>
        <w:tc>
          <w:tcPr>
            <w:tcW w:w="2816" w:type="dxa"/>
            <w:tcBorders/>
            <w:vAlign w:val="center"/>
          </w:tcPr>
          <w:p>
            <w:pPr>
              <w:pStyle w:val="TableContents"/>
              <w:bidi w:val="0"/>
              <w:spacing w:before="0" w:after="283"/>
              <w:jc w:val="left"/>
              <w:rPr/>
            </w:pPr>
            <w:r>
              <w:rPr/>
              <w:t>Packages, resource allocation, vehicle/driver dispatch, and seasonal or maintenance scheduling</w:t>
            </w:r>
          </w:p>
        </w:tc>
        <w:tc>
          <w:tcPr>
            <w:tcW w:w="3025" w:type="dxa"/>
            <w:tcBorders/>
            <w:vAlign w:val="center"/>
          </w:tcPr>
          <w:p>
            <w:pPr>
              <w:pStyle w:val="TableContents"/>
              <w:bidi w:val="0"/>
              <w:spacing w:before="0" w:after="283"/>
              <w:jc w:val="left"/>
              <w:rPr/>
            </w:pPr>
            <w:r>
              <w:rPr/>
              <w:t>Match resources to demand, dispatch assignments, record seasonal blocks, adjust availability constraints</w:t>
            </w:r>
          </w:p>
        </w:tc>
      </w:tr>
      <w:tr>
        <w:trPr/>
        <w:tc>
          <w:tcPr>
            <w:tcW w:w="2388" w:type="dxa"/>
            <w:tcBorders/>
            <w:vAlign w:val="center"/>
          </w:tcPr>
          <w:p>
            <w:pPr>
              <w:pStyle w:val="TableContents"/>
              <w:bidi w:val="0"/>
              <w:spacing w:before="0" w:after="283"/>
              <w:jc w:val="left"/>
              <w:rPr/>
            </w:pPr>
            <w:r>
              <w:rPr/>
              <w:t>Marketing</w:t>
            </w:r>
          </w:p>
        </w:tc>
        <w:tc>
          <w:tcPr>
            <w:tcW w:w="2816" w:type="dxa"/>
            <w:tcBorders/>
            <w:vAlign w:val="center"/>
          </w:tcPr>
          <w:p>
            <w:pPr>
              <w:pStyle w:val="TableContents"/>
              <w:bidi w:val="0"/>
              <w:spacing w:before="0" w:after="283"/>
              <w:jc w:val="left"/>
              <w:rPr/>
            </w:pPr>
            <w:r>
              <w:rPr/>
              <w:t>Campaign workflow, promotions, vouchers, affiliate tracking, and metrics</w:t>
            </w:r>
          </w:p>
        </w:tc>
        <w:tc>
          <w:tcPr>
            <w:tcW w:w="3025" w:type="dxa"/>
            <w:tcBorders/>
            <w:vAlign w:val="center"/>
          </w:tcPr>
          <w:p>
            <w:pPr>
              <w:pStyle w:val="TableContents"/>
              <w:bidi w:val="0"/>
              <w:spacing w:before="0" w:after="283"/>
              <w:jc w:val="left"/>
              <w:rPr/>
            </w:pPr>
            <w:r>
              <w:rPr/>
              <w:t>Prepare campaigns, review approval state, track clicks and redemptions, update notes, publish or revise offers</w:t>
            </w:r>
          </w:p>
        </w:tc>
      </w:tr>
      <w:tr>
        <w:trPr/>
        <w:tc>
          <w:tcPr>
            <w:tcW w:w="2388" w:type="dxa"/>
            <w:tcBorders/>
            <w:vAlign w:val="center"/>
          </w:tcPr>
          <w:p>
            <w:pPr>
              <w:pStyle w:val="TableContents"/>
              <w:bidi w:val="0"/>
              <w:spacing w:before="0" w:after="283"/>
              <w:jc w:val="left"/>
              <w:rPr/>
            </w:pPr>
            <w:r>
              <w:rPr/>
              <w:t>Financial</w:t>
            </w:r>
          </w:p>
        </w:tc>
        <w:tc>
          <w:tcPr>
            <w:tcW w:w="2816" w:type="dxa"/>
            <w:tcBorders/>
            <w:vAlign w:val="center"/>
          </w:tcPr>
          <w:p>
            <w:pPr>
              <w:pStyle w:val="TableContents"/>
              <w:bidi w:val="0"/>
              <w:spacing w:before="0" w:after="283"/>
              <w:jc w:val="left"/>
              <w:rPr/>
            </w:pPr>
            <w:r>
              <w:rPr/>
              <w:t>Snapshot reporting, reconciliation flags, and export generation</w:t>
            </w:r>
          </w:p>
        </w:tc>
        <w:tc>
          <w:tcPr>
            <w:tcW w:w="3025" w:type="dxa"/>
            <w:tcBorders/>
            <w:vAlign w:val="center"/>
          </w:tcPr>
          <w:p>
            <w:pPr>
              <w:pStyle w:val="TableContents"/>
              <w:bidi w:val="0"/>
              <w:spacing w:before="0" w:after="283"/>
              <w:jc w:val="left"/>
              <w:rPr/>
            </w:pPr>
            <w:r>
              <w:rPr/>
              <w:t>Review report runs, inspect open flags, update reconciliation state, export CSV for operational reporting</w:t>
            </w:r>
          </w:p>
        </w:tc>
      </w:tr>
      <w:tr>
        <w:trPr/>
        <w:tc>
          <w:tcPr>
            <w:tcW w:w="2388" w:type="dxa"/>
            <w:tcBorders/>
            <w:vAlign w:val="center"/>
          </w:tcPr>
          <w:p>
            <w:pPr>
              <w:pStyle w:val="TableContents"/>
              <w:bidi w:val="0"/>
              <w:spacing w:before="0" w:after="283"/>
              <w:jc w:val="left"/>
              <w:rPr/>
            </w:pPr>
            <w:r>
              <w:rPr/>
              <w:t>Visa</w:t>
            </w:r>
          </w:p>
        </w:tc>
        <w:tc>
          <w:tcPr>
            <w:tcW w:w="2816" w:type="dxa"/>
            <w:tcBorders/>
            <w:vAlign w:val="center"/>
          </w:tcPr>
          <w:p>
            <w:pPr>
              <w:pStyle w:val="TableContents"/>
              <w:bidi w:val="0"/>
              <w:spacing w:before="0" w:after="283"/>
              <w:jc w:val="left"/>
              <w:rPr/>
            </w:pPr>
            <w:r>
              <w:rPr/>
              <w:t>Visa application workflow, document checklist, payment tracking, and notifications</w:t>
            </w:r>
          </w:p>
        </w:tc>
        <w:tc>
          <w:tcPr>
            <w:tcW w:w="3025" w:type="dxa"/>
            <w:tcBorders/>
            <w:vAlign w:val="center"/>
          </w:tcPr>
          <w:p>
            <w:pPr>
              <w:pStyle w:val="TableContents"/>
              <w:bidi w:val="0"/>
              <w:spacing w:before="0" w:after="283"/>
              <w:jc w:val="left"/>
              <w:rPr/>
            </w:pPr>
            <w:r>
              <w:rPr/>
              <w:t>Intake cases, update checklist state, upload supporting files, monitor payments and appointment status, resolve exceptions</w:t>
            </w:r>
          </w:p>
        </w:tc>
      </w:tr>
      <w:tr>
        <w:trPr/>
        <w:tc>
          <w:tcPr>
            <w:tcW w:w="2388" w:type="dxa"/>
            <w:tcBorders/>
            <w:vAlign w:val="center"/>
          </w:tcPr>
          <w:p>
            <w:pPr>
              <w:pStyle w:val="TableContents"/>
              <w:bidi w:val="0"/>
              <w:spacing w:before="0" w:after="283"/>
              <w:jc w:val="left"/>
              <w:rPr/>
            </w:pPr>
            <w:r>
              <w:rPr/>
              <w:t>Staff</w:t>
            </w:r>
          </w:p>
        </w:tc>
        <w:tc>
          <w:tcPr>
            <w:tcW w:w="2816" w:type="dxa"/>
            <w:tcBorders/>
            <w:vAlign w:val="center"/>
          </w:tcPr>
          <w:p>
            <w:pPr>
              <w:pStyle w:val="TableContents"/>
              <w:bidi w:val="0"/>
              <w:spacing w:before="0" w:after="283"/>
              <w:jc w:val="left"/>
              <w:rPr/>
            </w:pPr>
            <w:r>
              <w:rPr/>
              <w:t>Internal staff records and assignment context</w:t>
            </w:r>
          </w:p>
        </w:tc>
        <w:tc>
          <w:tcPr>
            <w:tcW w:w="3025" w:type="dxa"/>
            <w:tcBorders/>
            <w:vAlign w:val="center"/>
          </w:tcPr>
          <w:p>
            <w:pPr>
              <w:pStyle w:val="TableContents"/>
              <w:bidi w:val="0"/>
              <w:spacing w:before="0" w:after="283"/>
              <w:jc w:val="left"/>
              <w:rPr/>
            </w:pPr>
            <w:r>
              <w:rPr/>
              <w:t>Maintain operating staff information, support agent and dispatch workflows, enforce role-aware visibility</w:t>
            </w:r>
          </w:p>
        </w:tc>
      </w:tr>
      <w:tr>
        <w:trPr/>
        <w:tc>
          <w:tcPr>
            <w:tcW w:w="2388" w:type="dxa"/>
            <w:tcBorders/>
            <w:vAlign w:val="center"/>
          </w:tcPr>
          <w:p>
            <w:pPr>
              <w:pStyle w:val="TableContents"/>
              <w:bidi w:val="0"/>
              <w:spacing w:before="0" w:after="283"/>
              <w:jc w:val="left"/>
              <w:rPr/>
            </w:pPr>
            <w:r>
              <w:rPr/>
              <w:t>Approvals</w:t>
            </w:r>
          </w:p>
        </w:tc>
        <w:tc>
          <w:tcPr>
            <w:tcW w:w="2816" w:type="dxa"/>
            <w:tcBorders/>
            <w:vAlign w:val="center"/>
          </w:tcPr>
          <w:p>
            <w:pPr>
              <w:pStyle w:val="TableContents"/>
              <w:bidi w:val="0"/>
              <w:spacing w:before="0" w:after="283"/>
              <w:jc w:val="left"/>
              <w:rPr/>
            </w:pPr>
            <w:r>
              <w:rPr/>
              <w:t>Decision queue for cross-module controlled changes</w:t>
            </w:r>
          </w:p>
        </w:tc>
        <w:tc>
          <w:tcPr>
            <w:tcW w:w="3025" w:type="dxa"/>
            <w:tcBorders/>
            <w:vAlign w:val="center"/>
          </w:tcPr>
          <w:p>
            <w:pPr>
              <w:pStyle w:val="TableContents"/>
              <w:bidi w:val="0"/>
              <w:spacing w:before="0" w:after="283"/>
              <w:jc w:val="left"/>
              <w:rPr/>
            </w:pPr>
            <w:r>
              <w:rPr/>
              <w:t>Review pending approvals, record decision notes, approve or reject, propagate final state to the owning module</w:t>
            </w:r>
          </w:p>
        </w:tc>
      </w:tr>
      <w:tr>
        <w:trPr/>
        <w:tc>
          <w:tcPr>
            <w:tcW w:w="2388" w:type="dxa"/>
            <w:tcBorders/>
            <w:vAlign w:val="center"/>
          </w:tcPr>
          <w:p>
            <w:pPr>
              <w:pStyle w:val="TableContents"/>
              <w:bidi w:val="0"/>
              <w:spacing w:before="0" w:after="283"/>
              <w:jc w:val="left"/>
              <w:rPr/>
            </w:pPr>
            <w:r>
              <w:rPr/>
              <w:t>Auth</w:t>
            </w:r>
          </w:p>
        </w:tc>
        <w:tc>
          <w:tcPr>
            <w:tcW w:w="2816" w:type="dxa"/>
            <w:tcBorders/>
            <w:vAlign w:val="center"/>
          </w:tcPr>
          <w:p>
            <w:pPr>
              <w:pStyle w:val="TableContents"/>
              <w:bidi w:val="0"/>
              <w:spacing w:before="0" w:after="283"/>
              <w:jc w:val="left"/>
              <w:rPr/>
            </w:pPr>
            <w:r>
              <w:rPr/>
              <w:t>Entry, session lifecycle, and logout</w:t>
            </w:r>
          </w:p>
        </w:tc>
        <w:tc>
          <w:tcPr>
            <w:tcW w:w="3025" w:type="dxa"/>
            <w:tcBorders/>
            <w:vAlign w:val="center"/>
          </w:tcPr>
          <w:p>
            <w:pPr>
              <w:pStyle w:val="TableContents"/>
              <w:bidi w:val="0"/>
              <w:spacing w:before="0" w:after="283"/>
              <w:jc w:val="left"/>
              <w:rPr/>
            </w:pPr>
            <w:r>
              <w:rPr/>
              <w:t>Authenticate through session-based login, rotate session identifiers, refresh CSRF state, terminate securely on logout</w:t>
            </w:r>
          </w:p>
        </w:tc>
      </w:tr>
    </w:tbl>
    <w:p>
      <w:pPr>
        <w:pStyle w:val="Heading2"/>
        <w:bidi w:val="0"/>
        <w:jc w:val="left"/>
        <w:rPr/>
      </w:pPr>
      <w:r>
        <w:rPr/>
        <w:t>5. End-To-End Business Process Sequence</w:t>
      </w:r>
    </w:p>
    <w:p>
      <w:pPr>
        <w:pStyle w:val="BodyText"/>
        <w:numPr>
          <w:ilvl w:val="0"/>
          <w:numId w:val="3"/>
        </w:numPr>
        <w:tabs>
          <w:tab w:val="clear" w:pos="1134"/>
          <w:tab w:val="left" w:pos="1956" w:leader="none"/>
        </w:tabs>
        <w:bidi w:val="0"/>
        <w:spacing w:before="0" w:after="0"/>
        <w:ind w:hanging="283" w:left="1956"/>
        <w:jc w:val="left"/>
        <w:rPr/>
      </w:pPr>
      <w:r>
        <w:rPr/>
        <w:t xml:space="preserve">An operator signs in through the browser login route and lands on the dashboard. </w:t>
      </w:r>
    </w:p>
    <w:p>
      <w:pPr>
        <w:pStyle w:val="BodyText"/>
        <w:numPr>
          <w:ilvl w:val="0"/>
          <w:numId w:val="3"/>
        </w:numPr>
        <w:tabs>
          <w:tab w:val="clear" w:pos="1134"/>
          <w:tab w:val="left" w:pos="1956" w:leader="none"/>
        </w:tabs>
        <w:bidi w:val="0"/>
        <w:spacing w:before="0" w:after="0"/>
        <w:ind w:hanging="283" w:left="1956"/>
        <w:jc w:val="left"/>
        <w:rPr/>
      </w:pPr>
      <w:r>
        <w:rPr/>
        <w:t xml:space="preserve">The dashboard highlights pending operational items across agents, suppliers, dispatch, approvals, visa cases, and finance. </w:t>
      </w:r>
    </w:p>
    <w:p>
      <w:pPr>
        <w:pStyle w:val="BodyText"/>
        <w:numPr>
          <w:ilvl w:val="0"/>
          <w:numId w:val="3"/>
        </w:numPr>
        <w:tabs>
          <w:tab w:val="clear" w:pos="1134"/>
          <w:tab w:val="left" w:pos="1956" w:leader="none"/>
        </w:tabs>
        <w:bidi w:val="0"/>
        <w:spacing w:before="0" w:after="0"/>
        <w:ind w:hanging="283" w:left="1956"/>
        <w:jc w:val="left"/>
        <w:rPr/>
      </w:pPr>
      <w:r>
        <w:rPr/>
        <w:t xml:space="preserve">The operator enters the appropriate module, reviews seeded or live rows, and performs the required action. </w:t>
      </w:r>
    </w:p>
    <w:p>
      <w:pPr>
        <w:pStyle w:val="BodyText"/>
        <w:numPr>
          <w:ilvl w:val="0"/>
          <w:numId w:val="3"/>
        </w:numPr>
        <w:tabs>
          <w:tab w:val="clear" w:pos="1134"/>
          <w:tab w:val="left" w:pos="1956" w:leader="none"/>
        </w:tabs>
        <w:bidi w:val="0"/>
        <w:spacing w:before="0" w:after="0"/>
        <w:ind w:hanging="283" w:left="1956"/>
        <w:jc w:val="left"/>
        <w:rPr/>
      </w:pPr>
      <w:r>
        <w:rPr/>
        <w:t xml:space="preserve">State-changing operations are protected by session auth, CSRF validation, and permission checks. </w:t>
      </w:r>
    </w:p>
    <w:p>
      <w:pPr>
        <w:pStyle w:val="BodyText"/>
        <w:numPr>
          <w:ilvl w:val="0"/>
          <w:numId w:val="3"/>
        </w:numPr>
        <w:tabs>
          <w:tab w:val="clear" w:pos="1134"/>
          <w:tab w:val="left" w:pos="1956" w:leader="none"/>
        </w:tabs>
        <w:bidi w:val="0"/>
        <w:spacing w:before="0" w:after="0"/>
        <w:ind w:hanging="283" w:left="1956"/>
        <w:jc w:val="left"/>
        <w:rPr/>
      </w:pPr>
      <w:r>
        <w:rPr/>
        <w:t xml:space="preserve">Representative updates generate audit-log entries so operator actions remain traceable. </w:t>
      </w:r>
    </w:p>
    <w:p>
      <w:pPr>
        <w:pStyle w:val="BodyText"/>
        <w:numPr>
          <w:ilvl w:val="0"/>
          <w:numId w:val="3"/>
        </w:numPr>
        <w:tabs>
          <w:tab w:val="clear" w:pos="1134"/>
          <w:tab w:val="left" w:pos="1956" w:leader="none"/>
        </w:tabs>
        <w:bidi w:val="0"/>
        <w:spacing w:before="0" w:after="0"/>
        <w:ind w:hanging="283" w:left="1956"/>
        <w:jc w:val="left"/>
        <w:rPr/>
      </w:pPr>
      <w:r>
        <w:rPr/>
        <w:t xml:space="preserve">Where approval is required, the change is surfaced in the approvals queue and must be decided by an authorized role. </w:t>
      </w:r>
    </w:p>
    <w:p>
      <w:pPr>
        <w:pStyle w:val="BodyText"/>
        <w:numPr>
          <w:ilvl w:val="0"/>
          <w:numId w:val="3"/>
        </w:numPr>
        <w:tabs>
          <w:tab w:val="clear" w:pos="1134"/>
          <w:tab w:val="left" w:pos="1956" w:leader="none"/>
        </w:tabs>
        <w:bidi w:val="0"/>
        <w:spacing w:before="0" w:after="0"/>
        <w:ind w:hanging="283" w:left="1956"/>
        <w:jc w:val="left"/>
        <w:rPr/>
      </w:pPr>
      <w:r>
        <w:rPr/>
        <w:t xml:space="preserve">Uploads and exports use persistent runtime storage and must survive release switches. </w:t>
      </w:r>
    </w:p>
    <w:p>
      <w:pPr>
        <w:pStyle w:val="BodyText"/>
        <w:numPr>
          <w:ilvl w:val="0"/>
          <w:numId w:val="3"/>
        </w:numPr>
        <w:tabs>
          <w:tab w:val="clear" w:pos="1134"/>
          <w:tab w:val="left" w:pos="1956" w:leader="none"/>
        </w:tabs>
        <w:bidi w:val="0"/>
        <w:ind w:hanging="283" w:left="1956"/>
        <w:jc w:val="left"/>
        <w:rPr/>
      </w:pPr>
      <w:r>
        <w:rPr/>
        <w:t xml:space="preserve">Operational reporting and CSV output are treated as CT2 outputs, not as the master finance ledger. </w:t>
      </w:r>
    </w:p>
    <w:p>
      <w:pPr>
        <w:pStyle w:val="Heading2"/>
        <w:bidi w:val="0"/>
        <w:jc w:val="left"/>
        <w:rPr/>
      </w:pPr>
      <w:r>
        <w:rPr/>
        <w:t>6. Roles And Permission Model</w:t>
      </w:r>
    </w:p>
    <w:p>
      <w:pPr>
        <w:pStyle w:val="BodyText"/>
        <w:bidi w:val="0"/>
        <w:jc w:val="left"/>
        <w:rPr/>
      </w:pPr>
      <w:r>
        <w:rPr/>
        <w:t xml:space="preserve">CT2 uses a seeded role model to separate administrative, managerial, operational, and finance access. Browser access is session-based, while protected JSON endpoints require authentication and permission checks that mirror the same module boundaries. </w:t>
      </w:r>
    </w:p>
    <w:tbl>
      <w:tblPr>
        <w:tblW w:w="8229" w:type="dxa"/>
        <w:jc w:val="left"/>
        <w:tblInd w:w="0" w:type="dxa"/>
        <w:tblLayout w:type="fixed"/>
        <w:tblCellMar>
          <w:top w:w="28" w:type="dxa"/>
          <w:left w:w="28" w:type="dxa"/>
          <w:bottom w:w="28" w:type="dxa"/>
          <w:right w:w="28" w:type="dxa"/>
        </w:tblCellMar>
      </w:tblPr>
      <w:tblGrid>
        <w:gridCol w:w="2540"/>
        <w:gridCol w:w="2682"/>
        <w:gridCol w:w="3007"/>
      </w:tblGrid>
      <w:tr>
        <w:trPr>
          <w:tblHeader w:val="true"/>
        </w:trPr>
        <w:tc>
          <w:tcPr>
            <w:tcW w:w="2540" w:type="dxa"/>
            <w:tcBorders/>
            <w:vAlign w:val="center"/>
          </w:tcPr>
          <w:p>
            <w:pPr>
              <w:pStyle w:val="TableHeading"/>
              <w:suppressLineNumbers/>
              <w:bidi w:val="0"/>
              <w:spacing w:before="0" w:after="283"/>
              <w:jc w:val="center"/>
              <w:rPr/>
            </w:pPr>
            <w:r>
              <w:rPr/>
              <w:t>Seeded user</w:t>
            </w:r>
          </w:p>
        </w:tc>
        <w:tc>
          <w:tcPr>
            <w:tcW w:w="2682" w:type="dxa"/>
            <w:tcBorders/>
            <w:vAlign w:val="center"/>
          </w:tcPr>
          <w:p>
            <w:pPr>
              <w:pStyle w:val="TableHeading"/>
              <w:suppressLineNumbers/>
              <w:bidi w:val="0"/>
              <w:spacing w:before="0" w:after="283"/>
              <w:jc w:val="center"/>
              <w:rPr/>
            </w:pPr>
            <w:r>
              <w:rPr/>
              <w:t>Role</w:t>
            </w:r>
          </w:p>
        </w:tc>
        <w:tc>
          <w:tcPr>
            <w:tcW w:w="3007" w:type="dxa"/>
            <w:tcBorders/>
            <w:vAlign w:val="center"/>
          </w:tcPr>
          <w:p>
            <w:pPr>
              <w:pStyle w:val="TableHeading"/>
              <w:suppressLineNumbers/>
              <w:bidi w:val="0"/>
              <w:spacing w:before="0" w:after="283"/>
              <w:jc w:val="center"/>
              <w:rPr/>
            </w:pPr>
            <w:r>
              <w:rPr/>
              <w:t>Primary use</w:t>
            </w:r>
          </w:p>
        </w:tc>
      </w:tr>
      <w:tr>
        <w:trPr/>
        <w:tc>
          <w:tcPr>
            <w:tcW w:w="2540" w:type="dxa"/>
            <w:tcBorders/>
            <w:vAlign w:val="center"/>
          </w:tcPr>
          <w:p>
            <w:pPr>
              <w:pStyle w:val="TableContents"/>
              <w:bidi w:val="0"/>
              <w:spacing w:before="0" w:after="283"/>
              <w:jc w:val="left"/>
              <w:rPr/>
            </w:pPr>
            <w:r>
              <w:rPr>
                <w:rStyle w:val="SourceText"/>
              </w:rPr>
              <w:t>ct2admin</w:t>
            </w:r>
          </w:p>
        </w:tc>
        <w:tc>
          <w:tcPr>
            <w:tcW w:w="2682" w:type="dxa"/>
            <w:tcBorders/>
            <w:vAlign w:val="center"/>
          </w:tcPr>
          <w:p>
            <w:pPr>
              <w:pStyle w:val="TableContents"/>
              <w:bidi w:val="0"/>
              <w:spacing w:before="0" w:after="283"/>
              <w:jc w:val="left"/>
              <w:rPr/>
            </w:pPr>
            <w:r>
              <w:rPr>
                <w:rStyle w:val="SourceText"/>
              </w:rPr>
              <w:t>system_admin</w:t>
            </w:r>
          </w:p>
        </w:tc>
        <w:tc>
          <w:tcPr>
            <w:tcW w:w="3007" w:type="dxa"/>
            <w:tcBorders/>
            <w:vAlign w:val="center"/>
          </w:tcPr>
          <w:p>
            <w:pPr>
              <w:pStyle w:val="TableContents"/>
              <w:bidi w:val="0"/>
              <w:spacing w:before="0" w:after="283"/>
              <w:jc w:val="left"/>
              <w:rPr/>
            </w:pPr>
            <w:r>
              <w:rPr/>
              <w:t>Full cross-module administration and validation</w:t>
            </w:r>
          </w:p>
        </w:tc>
      </w:tr>
      <w:tr>
        <w:trPr/>
        <w:tc>
          <w:tcPr>
            <w:tcW w:w="2540" w:type="dxa"/>
            <w:tcBorders/>
            <w:vAlign w:val="center"/>
          </w:tcPr>
          <w:p>
            <w:pPr>
              <w:pStyle w:val="TableContents"/>
              <w:bidi w:val="0"/>
              <w:spacing w:before="0" w:after="283"/>
              <w:jc w:val="left"/>
              <w:rPr/>
            </w:pPr>
            <w:r>
              <w:rPr>
                <w:rStyle w:val="SourceText"/>
              </w:rPr>
              <w:t>ct2manager</w:t>
            </w:r>
          </w:p>
        </w:tc>
        <w:tc>
          <w:tcPr>
            <w:tcW w:w="2682" w:type="dxa"/>
            <w:tcBorders/>
            <w:vAlign w:val="center"/>
          </w:tcPr>
          <w:p>
            <w:pPr>
              <w:pStyle w:val="TableContents"/>
              <w:bidi w:val="0"/>
              <w:spacing w:before="0" w:after="283"/>
              <w:jc w:val="left"/>
              <w:rPr/>
            </w:pPr>
            <w:r>
              <w:rPr>
                <w:rStyle w:val="SourceText"/>
              </w:rPr>
              <w:t>back_office_manager</w:t>
            </w:r>
          </w:p>
        </w:tc>
        <w:tc>
          <w:tcPr>
            <w:tcW w:w="3007" w:type="dxa"/>
            <w:tcBorders/>
            <w:vAlign w:val="center"/>
          </w:tcPr>
          <w:p>
            <w:pPr>
              <w:pStyle w:val="TableContents"/>
              <w:bidi w:val="0"/>
              <w:spacing w:before="0" w:after="283"/>
              <w:jc w:val="left"/>
              <w:rPr/>
            </w:pPr>
            <w:r>
              <w:rPr/>
              <w:t>Approvals, dashboard review, supplier and marketing management</w:t>
            </w:r>
          </w:p>
        </w:tc>
      </w:tr>
      <w:tr>
        <w:trPr/>
        <w:tc>
          <w:tcPr>
            <w:tcW w:w="2540" w:type="dxa"/>
            <w:tcBorders/>
            <w:vAlign w:val="center"/>
          </w:tcPr>
          <w:p>
            <w:pPr>
              <w:pStyle w:val="TableContents"/>
              <w:bidi w:val="0"/>
              <w:spacing w:before="0" w:after="283"/>
              <w:jc w:val="left"/>
              <w:rPr/>
            </w:pPr>
            <w:r>
              <w:rPr>
                <w:rStyle w:val="SourceText"/>
              </w:rPr>
              <w:t>ct2lead</w:t>
            </w:r>
          </w:p>
        </w:tc>
        <w:tc>
          <w:tcPr>
            <w:tcW w:w="2682" w:type="dxa"/>
            <w:tcBorders/>
            <w:vAlign w:val="center"/>
          </w:tcPr>
          <w:p>
            <w:pPr>
              <w:pStyle w:val="TableContents"/>
              <w:bidi w:val="0"/>
              <w:spacing w:before="0" w:after="283"/>
              <w:jc w:val="left"/>
              <w:rPr/>
            </w:pPr>
            <w:r>
              <w:rPr>
                <w:rStyle w:val="SourceText"/>
              </w:rPr>
              <w:t>team_lead</w:t>
            </w:r>
          </w:p>
        </w:tc>
        <w:tc>
          <w:tcPr>
            <w:tcW w:w="3007" w:type="dxa"/>
            <w:tcBorders/>
            <w:vAlign w:val="center"/>
          </w:tcPr>
          <w:p>
            <w:pPr>
              <w:pStyle w:val="TableContents"/>
              <w:bidi w:val="0"/>
              <w:spacing w:before="0" w:after="283"/>
              <w:jc w:val="left"/>
              <w:rPr/>
            </w:pPr>
            <w:r>
              <w:rPr/>
              <w:t>Supplier follow-up, availability planning, and operational coordination</w:t>
            </w:r>
          </w:p>
        </w:tc>
      </w:tr>
      <w:tr>
        <w:trPr/>
        <w:tc>
          <w:tcPr>
            <w:tcW w:w="2540" w:type="dxa"/>
            <w:tcBorders/>
            <w:vAlign w:val="center"/>
          </w:tcPr>
          <w:p>
            <w:pPr>
              <w:pStyle w:val="TableContents"/>
              <w:bidi w:val="0"/>
              <w:spacing w:before="0" w:after="283"/>
              <w:jc w:val="left"/>
              <w:rPr/>
            </w:pPr>
            <w:r>
              <w:rPr>
                <w:rStyle w:val="SourceText"/>
              </w:rPr>
              <w:t>ct2desk</w:t>
            </w:r>
          </w:p>
        </w:tc>
        <w:tc>
          <w:tcPr>
            <w:tcW w:w="2682" w:type="dxa"/>
            <w:tcBorders/>
            <w:vAlign w:val="center"/>
          </w:tcPr>
          <w:p>
            <w:pPr>
              <w:pStyle w:val="TableContents"/>
              <w:bidi w:val="0"/>
              <w:spacing w:before="0" w:after="283"/>
              <w:jc w:val="left"/>
              <w:rPr/>
            </w:pPr>
            <w:r>
              <w:rPr>
                <w:rStyle w:val="SourceText"/>
              </w:rPr>
              <w:t>front_desk_agent</w:t>
            </w:r>
          </w:p>
        </w:tc>
        <w:tc>
          <w:tcPr>
            <w:tcW w:w="3007" w:type="dxa"/>
            <w:tcBorders/>
            <w:vAlign w:val="center"/>
          </w:tcPr>
          <w:p>
            <w:pPr>
              <w:pStyle w:val="TableContents"/>
              <w:bidi w:val="0"/>
              <w:spacing w:before="0" w:after="283"/>
              <w:jc w:val="left"/>
              <w:rPr/>
            </w:pPr>
            <w:r>
              <w:rPr/>
              <w:t>Visa intake and front-office operational flows</w:t>
            </w:r>
          </w:p>
        </w:tc>
      </w:tr>
      <w:tr>
        <w:trPr/>
        <w:tc>
          <w:tcPr>
            <w:tcW w:w="2540" w:type="dxa"/>
            <w:tcBorders/>
            <w:vAlign w:val="center"/>
          </w:tcPr>
          <w:p>
            <w:pPr>
              <w:pStyle w:val="TableContents"/>
              <w:bidi w:val="0"/>
              <w:spacing w:before="0" w:after="283"/>
              <w:jc w:val="left"/>
              <w:rPr/>
            </w:pPr>
            <w:r>
              <w:rPr>
                <w:rStyle w:val="SourceText"/>
              </w:rPr>
              <w:t>ct2finance</w:t>
            </w:r>
          </w:p>
        </w:tc>
        <w:tc>
          <w:tcPr>
            <w:tcW w:w="2682" w:type="dxa"/>
            <w:tcBorders/>
            <w:vAlign w:val="center"/>
          </w:tcPr>
          <w:p>
            <w:pPr>
              <w:pStyle w:val="TableContents"/>
              <w:bidi w:val="0"/>
              <w:spacing w:before="0" w:after="283"/>
              <w:jc w:val="left"/>
              <w:rPr/>
            </w:pPr>
            <w:r>
              <w:rPr>
                <w:rStyle w:val="SourceText"/>
              </w:rPr>
              <w:t>accounting_staff</w:t>
            </w:r>
          </w:p>
        </w:tc>
        <w:tc>
          <w:tcPr>
            <w:tcW w:w="3007" w:type="dxa"/>
            <w:tcBorders/>
            <w:vAlign w:val="center"/>
          </w:tcPr>
          <w:p>
            <w:pPr>
              <w:pStyle w:val="TableContents"/>
              <w:bidi w:val="0"/>
              <w:spacing w:before="0" w:after="283"/>
              <w:jc w:val="left"/>
              <w:rPr/>
            </w:pPr>
            <w:r>
              <w:rPr/>
              <w:t>Financial review, reconciliation, and export operations</w:t>
            </w:r>
          </w:p>
        </w:tc>
      </w:tr>
    </w:tbl>
    <w:p>
      <w:pPr>
        <w:pStyle w:val="BodyText"/>
        <w:bidi w:val="0"/>
        <w:jc w:val="left"/>
        <w:rPr/>
      </w:pPr>
      <w:r>
        <w:rPr/>
        <w:t xml:space="preserve">The current hardened contract requires browser and API authorization to stay aligned. Read actions must require the same view permissions as the equivalent browser module, and mutating actions must require the corresponding manage, decide, dispatch, or export permission as applicable. </w:t>
      </w:r>
    </w:p>
    <w:p>
      <w:pPr>
        <w:pStyle w:val="Heading2"/>
        <w:bidi w:val="0"/>
        <w:jc w:val="left"/>
        <w:rPr/>
      </w:pPr>
      <w:r>
        <w:rPr/>
        <w:t>7. Request, Session, API, And Audit Flow</w:t>
      </w:r>
    </w:p>
    <w:p>
      <w:pPr>
        <w:pStyle w:val="Heading3"/>
        <w:bidi w:val="0"/>
        <w:jc w:val="left"/>
        <w:rPr/>
      </w:pPr>
      <w:r>
        <w:rPr/>
        <w:t>Browser request lifecycle</w:t>
      </w:r>
    </w:p>
    <w:p>
      <w:pPr>
        <w:pStyle w:val="BodyText"/>
        <w:numPr>
          <w:ilvl w:val="0"/>
          <w:numId w:val="4"/>
        </w:numPr>
        <w:tabs>
          <w:tab w:val="clear" w:pos="1134"/>
          <w:tab w:val="left" w:pos="1956" w:leader="none"/>
        </w:tabs>
        <w:bidi w:val="0"/>
        <w:spacing w:before="0" w:after="0"/>
        <w:ind w:hanging="283" w:left="1956"/>
        <w:jc w:val="left"/>
        <w:rPr/>
      </w:pPr>
      <w:r>
        <w:rPr/>
        <w:t xml:space="preserve">The browser hits </w:t>
      </w:r>
      <w:r>
        <w:rPr>
          <w:rStyle w:val="SourceText"/>
        </w:rPr>
        <w:t>ct2_index.php</w:t>
      </w:r>
      <w:r>
        <w:rPr/>
        <w:t xml:space="preserve"> with a target module and action. </w:t>
      </w:r>
    </w:p>
    <w:p>
      <w:pPr>
        <w:pStyle w:val="BodyText"/>
        <w:numPr>
          <w:ilvl w:val="0"/>
          <w:numId w:val="4"/>
        </w:numPr>
        <w:tabs>
          <w:tab w:val="clear" w:pos="1134"/>
          <w:tab w:val="left" w:pos="1956" w:leader="none"/>
        </w:tabs>
        <w:bidi w:val="0"/>
        <w:spacing w:before="0" w:after="0"/>
        <w:ind w:hanging="283" w:left="1956"/>
        <w:jc w:val="left"/>
        <w:rPr/>
      </w:pPr>
      <w:r>
        <w:rPr/>
        <w:t xml:space="preserve">Bootstrap loads configuration, current session state, CSRF helpers, and permission helpers. </w:t>
      </w:r>
    </w:p>
    <w:p>
      <w:pPr>
        <w:pStyle w:val="BodyText"/>
        <w:numPr>
          <w:ilvl w:val="0"/>
          <w:numId w:val="4"/>
        </w:numPr>
        <w:tabs>
          <w:tab w:val="clear" w:pos="1134"/>
          <w:tab w:val="left" w:pos="1956" w:leader="none"/>
        </w:tabs>
        <w:bidi w:val="0"/>
        <w:spacing w:before="0" w:after="0"/>
        <w:ind w:hanging="283" w:left="1956"/>
        <w:jc w:val="left"/>
        <w:rPr/>
      </w:pPr>
      <w:r>
        <w:rPr/>
        <w:t xml:space="preserve">The front controller maps the module to a controller class. </w:t>
      </w:r>
    </w:p>
    <w:p>
      <w:pPr>
        <w:pStyle w:val="BodyText"/>
        <w:numPr>
          <w:ilvl w:val="0"/>
          <w:numId w:val="4"/>
        </w:numPr>
        <w:tabs>
          <w:tab w:val="clear" w:pos="1134"/>
          <w:tab w:val="left" w:pos="1956" w:leader="none"/>
        </w:tabs>
        <w:bidi w:val="0"/>
        <w:spacing w:before="0" w:after="0"/>
        <w:ind w:hanging="283" w:left="1956"/>
        <w:jc w:val="left"/>
        <w:rPr/>
      </w:pPr>
      <w:r>
        <w:rPr/>
        <w:t xml:space="preserve">The controller validates access, reads or writes through the model layer, and renders the matching PHP view. </w:t>
      </w:r>
    </w:p>
    <w:p>
      <w:pPr>
        <w:pStyle w:val="BodyText"/>
        <w:numPr>
          <w:ilvl w:val="0"/>
          <w:numId w:val="4"/>
        </w:numPr>
        <w:tabs>
          <w:tab w:val="clear" w:pos="1134"/>
          <w:tab w:val="left" w:pos="1956" w:leader="none"/>
        </w:tabs>
        <w:bidi w:val="0"/>
        <w:ind w:hanging="283" w:left="1956"/>
        <w:jc w:val="left"/>
        <w:rPr/>
      </w:pPr>
      <w:r>
        <w:rPr/>
        <w:t xml:space="preserve">Unexpected browser exceptions are logged server-side and shown to the user as a generic error page, not raw exception text. </w:t>
      </w:r>
    </w:p>
    <w:p>
      <w:pPr>
        <w:pStyle w:val="Heading3"/>
        <w:bidi w:val="0"/>
        <w:jc w:val="left"/>
        <w:rPr/>
      </w:pPr>
      <w:r>
        <w:rPr/>
        <w:t>Authentication and session hardening</w:t>
      </w:r>
    </w:p>
    <w:p>
      <w:pPr>
        <w:pStyle w:val="BodyText"/>
        <w:numPr>
          <w:ilvl w:val="0"/>
          <w:numId w:val="5"/>
        </w:numPr>
        <w:tabs>
          <w:tab w:val="clear" w:pos="1134"/>
          <w:tab w:val="left" w:pos="1956" w:leader="none"/>
        </w:tabs>
        <w:bidi w:val="0"/>
        <w:spacing w:before="0" w:after="0"/>
        <w:ind w:hanging="283" w:left="1956"/>
        <w:jc w:val="left"/>
        <w:rPr/>
      </w:pPr>
      <w:r>
        <w:rPr/>
        <w:t xml:space="preserve">Successful browser and API login rotates the session identifier. </w:t>
      </w:r>
    </w:p>
    <w:p>
      <w:pPr>
        <w:pStyle w:val="BodyText"/>
        <w:numPr>
          <w:ilvl w:val="0"/>
          <w:numId w:val="5"/>
        </w:numPr>
        <w:tabs>
          <w:tab w:val="clear" w:pos="1134"/>
          <w:tab w:val="left" w:pos="1956" w:leader="none"/>
        </w:tabs>
        <w:bidi w:val="0"/>
        <w:spacing w:before="0" w:after="0"/>
        <w:ind w:hanging="283" w:left="1956"/>
        <w:jc w:val="left"/>
        <w:rPr/>
      </w:pPr>
      <w:r>
        <w:rPr/>
        <w:t xml:space="preserve">CSRF state is refreshed when auth state changes. </w:t>
      </w:r>
    </w:p>
    <w:p>
      <w:pPr>
        <w:pStyle w:val="BodyText"/>
        <w:numPr>
          <w:ilvl w:val="0"/>
          <w:numId w:val="5"/>
        </w:numPr>
        <w:tabs>
          <w:tab w:val="clear" w:pos="1134"/>
          <w:tab w:val="left" w:pos="1956" w:leader="none"/>
        </w:tabs>
        <w:bidi w:val="0"/>
        <w:spacing w:before="0" w:after="0"/>
        <w:ind w:hanging="283" w:left="1956"/>
        <w:jc w:val="left"/>
        <w:rPr/>
      </w:pPr>
      <w:r>
        <w:rPr/>
        <w:t xml:space="preserve">Inactive users are denied consistently. </w:t>
      </w:r>
    </w:p>
    <w:p>
      <w:pPr>
        <w:pStyle w:val="BodyText"/>
        <w:numPr>
          <w:ilvl w:val="0"/>
          <w:numId w:val="5"/>
        </w:numPr>
        <w:tabs>
          <w:tab w:val="clear" w:pos="1134"/>
          <w:tab w:val="left" w:pos="1956" w:leader="none"/>
        </w:tabs>
        <w:bidi w:val="0"/>
        <w:ind w:hanging="283" w:left="1956"/>
        <w:jc w:val="left"/>
        <w:rPr/>
      </w:pPr>
      <w:r>
        <w:rPr/>
        <w:t xml:space="preserve">Logout closes the current session context and starts a fresh unauthenticated session state. </w:t>
      </w:r>
    </w:p>
    <w:p>
      <w:pPr>
        <w:pStyle w:val="Heading3"/>
        <w:bidi w:val="0"/>
        <w:jc w:val="left"/>
        <w:rPr/>
      </w:pPr>
      <w:r>
        <w:rPr/>
        <w:t>API contract</w:t>
      </w:r>
    </w:p>
    <w:p>
      <w:pPr>
        <w:pStyle w:val="BodyText"/>
        <w:numPr>
          <w:ilvl w:val="0"/>
          <w:numId w:val="6"/>
        </w:numPr>
        <w:tabs>
          <w:tab w:val="clear" w:pos="1134"/>
          <w:tab w:val="left" w:pos="1956" w:leader="none"/>
        </w:tabs>
        <w:bidi w:val="0"/>
        <w:spacing w:before="0" w:after="0"/>
        <w:ind w:hanging="283" w:left="1956"/>
        <w:jc w:val="left"/>
        <w:rPr/>
      </w:pPr>
      <w:r>
        <w:rPr/>
        <w:t xml:space="preserve">JSON endpoints live under </w:t>
      </w:r>
      <w:r>
        <w:rPr>
          <w:rStyle w:val="SourceText"/>
        </w:rPr>
        <w:t>ct2_back_office/api/</w:t>
      </w:r>
      <w:r>
        <w:rPr/>
        <w:t xml:space="preserve">. </w:t>
      </w:r>
    </w:p>
    <w:p>
      <w:pPr>
        <w:pStyle w:val="BodyText"/>
        <w:numPr>
          <w:ilvl w:val="0"/>
          <w:numId w:val="6"/>
        </w:numPr>
        <w:tabs>
          <w:tab w:val="clear" w:pos="1134"/>
          <w:tab w:val="left" w:pos="1956" w:leader="none"/>
        </w:tabs>
        <w:bidi w:val="0"/>
        <w:spacing w:before="0" w:after="0"/>
        <w:ind w:hanging="283" w:left="1956"/>
        <w:jc w:val="left"/>
        <w:rPr/>
      </w:pPr>
      <w:r>
        <w:rPr/>
        <w:t xml:space="preserve">Responses must remain JSON-only, with no HTML or warning leakage. </w:t>
      </w:r>
    </w:p>
    <w:p>
      <w:pPr>
        <w:pStyle w:val="BodyText"/>
        <w:numPr>
          <w:ilvl w:val="0"/>
          <w:numId w:val="6"/>
        </w:numPr>
        <w:tabs>
          <w:tab w:val="clear" w:pos="1134"/>
          <w:tab w:val="left" w:pos="1956" w:leader="none"/>
        </w:tabs>
        <w:bidi w:val="0"/>
        <w:spacing w:before="0" w:after="0"/>
        <w:ind w:hanging="283" w:left="1956"/>
        <w:jc w:val="left"/>
        <w:rPr/>
      </w:pPr>
      <w:r>
        <w:rPr/>
        <w:t xml:space="preserve">Endpoints inherit session-authenticated access and permission enforcement. </w:t>
      </w:r>
    </w:p>
    <w:p>
      <w:pPr>
        <w:pStyle w:val="BodyText"/>
        <w:numPr>
          <w:ilvl w:val="0"/>
          <w:numId w:val="6"/>
        </w:numPr>
        <w:tabs>
          <w:tab w:val="clear" w:pos="1134"/>
          <w:tab w:val="left" w:pos="1956" w:leader="none"/>
        </w:tabs>
        <w:bidi w:val="0"/>
        <w:ind w:hanging="283" w:left="1956"/>
        <w:jc w:val="left"/>
        <w:rPr/>
      </w:pPr>
      <w:r>
        <w:rPr>
          <w:rStyle w:val="SourceText"/>
        </w:rPr>
        <w:t>api.access</w:t>
      </w:r>
      <w:r>
        <w:rPr/>
        <w:t xml:space="preserve"> remains the baseline gate, with module-level permissions applied for read and write parity. </w:t>
      </w:r>
    </w:p>
    <w:p>
      <w:pPr>
        <w:pStyle w:val="Heading3"/>
        <w:bidi w:val="0"/>
        <w:jc w:val="left"/>
        <w:rPr/>
      </w:pPr>
      <w:r>
        <w:rPr/>
        <w:t>Audit and traceability</w:t>
      </w:r>
    </w:p>
    <w:p>
      <w:pPr>
        <w:pStyle w:val="BodyText"/>
        <w:numPr>
          <w:ilvl w:val="0"/>
          <w:numId w:val="7"/>
        </w:numPr>
        <w:tabs>
          <w:tab w:val="clear" w:pos="1134"/>
          <w:tab w:val="left" w:pos="1956" w:leader="none"/>
        </w:tabs>
        <w:bidi w:val="0"/>
        <w:spacing w:before="0" w:after="0"/>
        <w:ind w:hanging="283" w:left="1956"/>
        <w:jc w:val="left"/>
        <w:rPr/>
      </w:pPr>
      <w:r>
        <w:rPr/>
        <w:t xml:space="preserve">Representative operational writes create </w:t>
      </w:r>
      <w:r>
        <w:rPr>
          <w:rStyle w:val="SourceText"/>
        </w:rPr>
        <w:t>ct2_audit_logs</w:t>
      </w:r>
      <w:r>
        <w:rPr/>
        <w:t xml:space="preserve"> rows. </w:t>
      </w:r>
    </w:p>
    <w:p>
      <w:pPr>
        <w:pStyle w:val="BodyText"/>
        <w:numPr>
          <w:ilvl w:val="0"/>
          <w:numId w:val="7"/>
        </w:numPr>
        <w:tabs>
          <w:tab w:val="clear" w:pos="1134"/>
          <w:tab w:val="left" w:pos="1956" w:leader="none"/>
        </w:tabs>
        <w:bidi w:val="0"/>
        <w:spacing w:before="0" w:after="0"/>
        <w:ind w:hanging="283" w:left="1956"/>
        <w:jc w:val="left"/>
        <w:rPr/>
      </w:pPr>
      <w:r>
        <w:rPr/>
        <w:t xml:space="preserve">Approval decisions, supplier updates, visa checklist changes, and financial flag updates are part of the hardened write surface. </w:t>
      </w:r>
    </w:p>
    <w:p>
      <w:pPr>
        <w:pStyle w:val="BodyText"/>
        <w:numPr>
          <w:ilvl w:val="0"/>
          <w:numId w:val="7"/>
        </w:numPr>
        <w:tabs>
          <w:tab w:val="clear" w:pos="1134"/>
          <w:tab w:val="left" w:pos="1956" w:leader="none"/>
        </w:tabs>
        <w:bidi w:val="0"/>
        <w:ind w:hanging="283" w:left="1956"/>
        <w:jc w:val="left"/>
        <w:rPr/>
      </w:pPr>
      <w:r>
        <w:rPr/>
        <w:t xml:space="preserve">Operators should treat missing audit rows for successful writes as a regression. </w:t>
      </w:r>
    </w:p>
    <w:p>
      <w:pPr>
        <w:pStyle w:val="Heading2"/>
        <w:bidi w:val="0"/>
        <w:jc w:val="left"/>
        <w:rPr/>
      </w:pPr>
      <w:r>
        <w:rPr/>
        <w:t>8. Data Flow Between CT2 And External Systems</w:t>
      </w:r>
    </w:p>
    <w:p>
      <w:pPr>
        <w:pStyle w:val="BodyText"/>
        <w:bidi w:val="0"/>
        <w:jc w:val="left"/>
        <w:rPr/>
      </w:pPr>
      <w:r>
        <w:rPr/>
        <w:t xml:space="preserve">CT2 is designed to sit beside upstream systems rather than replace them. A booking may originate in CT1 or another source platform, while CT2 stores the back-office workflow that surrounds that booking: supplier readiness, resource allocation, dispatch context, approvals, visa progression, and financial reporting snapshots. </w:t>
      </w:r>
    </w:p>
    <w:p>
      <w:pPr>
        <w:pStyle w:val="BodyText"/>
        <w:bidi w:val="0"/>
        <w:jc w:val="left"/>
        <w:rPr/>
      </w:pPr>
      <w:r>
        <w:rPr/>
        <w:t xml:space="preserve">This means reconciliation work often crosses system boundaries. When an incident touches booking truth, customer truth, or external payments, the support team should capture the CT2 reference IDs and escalate to the system that owns the source data rather than trying to force CT2 into becoming the system of record. </w:t>
      </w:r>
    </w:p>
    <w:p>
      <w:pPr>
        <w:pStyle w:val="Heading2"/>
        <w:bidi w:val="0"/>
        <w:jc w:val="left"/>
        <w:rPr/>
      </w:pPr>
      <w:r>
        <w:rPr/>
        <w:t>9. Environment Setup And Branch Model</w:t>
      </w:r>
    </w:p>
    <w:p>
      <w:pPr>
        <w:pStyle w:val="Heading3"/>
        <w:bidi w:val="0"/>
        <w:jc w:val="left"/>
        <w:rPr/>
      </w:pPr>
      <w:r>
        <w:rPr/>
        <w:t>Local and validation environment</w:t>
      </w:r>
    </w:p>
    <w:p>
      <w:pPr>
        <w:pStyle w:val="BodyText"/>
        <w:numPr>
          <w:ilvl w:val="0"/>
          <w:numId w:val="8"/>
        </w:numPr>
        <w:tabs>
          <w:tab w:val="clear" w:pos="1134"/>
          <w:tab w:val="left" w:pos="1956" w:leader="none"/>
        </w:tabs>
        <w:bidi w:val="0"/>
        <w:spacing w:before="0" w:after="0"/>
        <w:ind w:hanging="283" w:left="1956"/>
        <w:jc w:val="left"/>
        <w:rPr/>
      </w:pPr>
      <w:r>
        <w:rPr/>
        <w:t xml:space="preserve">PHP CLI with </w:t>
      </w:r>
      <w:r>
        <w:rPr>
          <w:rStyle w:val="SourceText"/>
        </w:rPr>
        <w:t>pdo_mysql</w:t>
      </w:r>
      <w:r>
        <w:rPr/>
        <w:t xml:space="preserve"> is required. </w:t>
      </w:r>
    </w:p>
    <w:p>
      <w:pPr>
        <w:pStyle w:val="BodyText"/>
        <w:numPr>
          <w:ilvl w:val="0"/>
          <w:numId w:val="8"/>
        </w:numPr>
        <w:tabs>
          <w:tab w:val="clear" w:pos="1134"/>
          <w:tab w:val="left" w:pos="1956" w:leader="none"/>
        </w:tabs>
        <w:bidi w:val="0"/>
        <w:spacing w:before="0" w:after="0"/>
        <w:ind w:hanging="283" w:left="1956"/>
        <w:jc w:val="left"/>
        <w:rPr/>
      </w:pPr>
      <w:r>
        <w:rPr/>
        <w:t xml:space="preserve">Local MySQL should be reachable through explicit TCP configuration. </w:t>
      </w:r>
    </w:p>
    <w:p>
      <w:pPr>
        <w:pStyle w:val="BodyText"/>
        <w:numPr>
          <w:ilvl w:val="0"/>
          <w:numId w:val="8"/>
        </w:numPr>
        <w:tabs>
          <w:tab w:val="clear" w:pos="1134"/>
          <w:tab w:val="left" w:pos="1956" w:leader="none"/>
        </w:tabs>
        <w:bidi w:val="0"/>
        <w:spacing w:before="0" w:after="0"/>
        <w:ind w:hanging="283" w:left="1956"/>
        <w:jc w:val="left"/>
        <w:rPr/>
      </w:pPr>
      <w:r>
        <w:rPr/>
        <w:t xml:space="preserve">Node and Chrome or Chromium are required for browser-heavy validators. </w:t>
      </w:r>
    </w:p>
    <w:p>
      <w:pPr>
        <w:pStyle w:val="BodyText"/>
        <w:numPr>
          <w:ilvl w:val="0"/>
          <w:numId w:val="8"/>
        </w:numPr>
        <w:tabs>
          <w:tab w:val="clear" w:pos="1134"/>
          <w:tab w:val="left" w:pos="1956" w:leader="none"/>
        </w:tabs>
        <w:bidi w:val="0"/>
        <w:ind w:hanging="283" w:left="1956"/>
        <w:jc w:val="left"/>
        <w:rPr/>
      </w:pPr>
      <w:r>
        <w:rPr/>
        <w:t xml:space="preserve">The seeded schema baseline comes from </w:t>
      </w:r>
      <w:r>
        <w:rPr>
          <w:rStyle w:val="SourceText"/>
        </w:rPr>
        <w:t>ct2_back_office/ct2_setup.sql</w:t>
      </w:r>
      <w:r>
        <w:rPr/>
        <w:t xml:space="preserve">. </w:t>
      </w:r>
    </w:p>
    <w:p>
      <w:pPr>
        <w:pStyle w:val="Heading3"/>
        <w:bidi w:val="0"/>
        <w:jc w:val="left"/>
        <w:rPr/>
      </w:pPr>
      <w:r>
        <w:rPr/>
        <w:t>Branch policy</w:t>
      </w:r>
    </w:p>
    <w:p>
      <w:pPr>
        <w:pStyle w:val="BodyText"/>
        <w:numPr>
          <w:ilvl w:val="0"/>
          <w:numId w:val="9"/>
        </w:numPr>
        <w:tabs>
          <w:tab w:val="clear" w:pos="1134"/>
          <w:tab w:val="left" w:pos="1956" w:leader="none"/>
        </w:tabs>
        <w:bidi w:val="0"/>
        <w:spacing w:before="0" w:after="0"/>
        <w:ind w:hanging="283" w:left="1956"/>
        <w:jc w:val="left"/>
        <w:rPr/>
      </w:pPr>
      <w:r>
        <w:rPr>
          <w:rStyle w:val="SourceText"/>
        </w:rPr>
        <w:t>develop</w:t>
      </w:r>
      <w:r>
        <w:rPr/>
        <w:t xml:space="preserve"> is the integration branch for ongoing CT2 work. </w:t>
      </w:r>
    </w:p>
    <w:p>
      <w:pPr>
        <w:pStyle w:val="BodyText"/>
        <w:numPr>
          <w:ilvl w:val="0"/>
          <w:numId w:val="9"/>
        </w:numPr>
        <w:tabs>
          <w:tab w:val="clear" w:pos="1134"/>
          <w:tab w:val="left" w:pos="1956" w:leader="none"/>
        </w:tabs>
        <w:bidi w:val="0"/>
        <w:spacing w:before="0" w:after="0"/>
        <w:ind w:hanging="283" w:left="1956"/>
        <w:jc w:val="left"/>
        <w:rPr/>
      </w:pPr>
      <w:r>
        <w:rPr>
          <w:rStyle w:val="SourceText"/>
        </w:rPr>
        <w:t>main</w:t>
      </w:r>
      <w:r>
        <w:rPr/>
        <w:t xml:space="preserve"> is the approved release branch. </w:t>
      </w:r>
    </w:p>
    <w:p>
      <w:pPr>
        <w:pStyle w:val="BodyText"/>
        <w:numPr>
          <w:ilvl w:val="0"/>
          <w:numId w:val="9"/>
        </w:numPr>
        <w:tabs>
          <w:tab w:val="clear" w:pos="1134"/>
          <w:tab w:val="left" w:pos="1956" w:leader="none"/>
        </w:tabs>
        <w:bidi w:val="0"/>
        <w:ind w:hanging="283" w:left="1956"/>
        <w:jc w:val="left"/>
        <w:rPr/>
      </w:pPr>
      <w:r>
        <w:rPr/>
        <w:t xml:space="preserve">Deployments should be built from approved release state, not from unreviewed feature branches. </w:t>
      </w:r>
    </w:p>
    <w:p>
      <w:pPr>
        <w:pStyle w:val="Heading2"/>
        <w:bidi w:val="0"/>
        <w:jc w:val="left"/>
        <w:rPr/>
      </w:pPr>
      <w:r>
        <w:rPr/>
        <w:t>10. Quality Gate And CI</w:t>
      </w:r>
    </w:p>
    <w:p>
      <w:pPr>
        <w:pStyle w:val="BodyText"/>
        <w:bidi w:val="0"/>
        <w:jc w:val="left"/>
        <w:rPr/>
      </w:pPr>
      <w:r>
        <w:rPr/>
        <w:t xml:space="preserve">Every tracked repo change closes on the strict full-suite gate. CT2 does not allow formatter drift, lint findings, PHP warnings, HTML leakage in JSON, partial pass output, or skipped runtime/security validation without a documented blocker. Targeted checks can be used during debugging, but they do not replace the full suite. </w:t>
      </w:r>
    </w:p>
    <w:tbl>
      <w:tblPr>
        <w:tblW w:w="8229" w:type="dxa"/>
        <w:jc w:val="left"/>
        <w:tblInd w:w="0" w:type="dxa"/>
        <w:tblLayout w:type="fixed"/>
        <w:tblCellMar>
          <w:top w:w="28" w:type="dxa"/>
          <w:left w:w="28" w:type="dxa"/>
          <w:bottom w:w="28" w:type="dxa"/>
          <w:right w:w="28" w:type="dxa"/>
        </w:tblCellMar>
      </w:tblPr>
      <w:tblGrid>
        <w:gridCol w:w="2941"/>
        <w:gridCol w:w="5288"/>
      </w:tblGrid>
      <w:tr>
        <w:trPr>
          <w:tblHeader w:val="true"/>
        </w:trPr>
        <w:tc>
          <w:tcPr>
            <w:tcW w:w="2941" w:type="dxa"/>
            <w:tcBorders/>
            <w:vAlign w:val="center"/>
          </w:tcPr>
          <w:p>
            <w:pPr>
              <w:pStyle w:val="TableHeading"/>
              <w:suppressLineNumbers/>
              <w:bidi w:val="0"/>
              <w:spacing w:before="0" w:after="283"/>
              <w:jc w:val="center"/>
              <w:rPr/>
            </w:pPr>
            <w:r>
              <w:rPr/>
              <w:t>Gate</w:t>
            </w:r>
          </w:p>
        </w:tc>
        <w:tc>
          <w:tcPr>
            <w:tcW w:w="5288" w:type="dxa"/>
            <w:tcBorders/>
            <w:vAlign w:val="center"/>
          </w:tcPr>
          <w:p>
            <w:pPr>
              <w:pStyle w:val="TableHeading"/>
              <w:suppressLineNumbers/>
              <w:bidi w:val="0"/>
              <w:spacing w:before="0" w:after="283"/>
              <w:jc w:val="center"/>
              <w:rPr/>
            </w:pPr>
            <w:r>
              <w:rPr/>
              <w:t>Purpose</w:t>
            </w:r>
          </w:p>
        </w:tc>
      </w:tr>
      <w:tr>
        <w:trPr/>
        <w:tc>
          <w:tcPr>
            <w:tcW w:w="2941" w:type="dxa"/>
            <w:tcBorders/>
            <w:vAlign w:val="center"/>
          </w:tcPr>
          <w:p>
            <w:pPr>
              <w:pStyle w:val="TableContents"/>
              <w:bidi w:val="0"/>
              <w:spacing w:before="0" w:after="283"/>
              <w:jc w:val="left"/>
              <w:rPr/>
            </w:pPr>
            <w:r>
              <w:rPr/>
              <w:t>Format check</w:t>
            </w:r>
          </w:p>
        </w:tc>
        <w:tc>
          <w:tcPr>
            <w:tcW w:w="5288" w:type="dxa"/>
            <w:tcBorders/>
            <w:vAlign w:val="center"/>
          </w:tcPr>
          <w:p>
            <w:pPr>
              <w:pStyle w:val="TableContents"/>
              <w:bidi w:val="0"/>
              <w:spacing w:before="0" w:after="283"/>
              <w:jc w:val="left"/>
              <w:rPr/>
            </w:pPr>
            <w:r>
              <w:rPr/>
              <w:t>Prevents style drift</w:t>
            </w:r>
          </w:p>
        </w:tc>
      </w:tr>
      <w:tr>
        <w:trPr/>
        <w:tc>
          <w:tcPr>
            <w:tcW w:w="2941" w:type="dxa"/>
            <w:tcBorders/>
            <w:vAlign w:val="center"/>
          </w:tcPr>
          <w:p>
            <w:pPr>
              <w:pStyle w:val="TableContents"/>
              <w:bidi w:val="0"/>
              <w:spacing w:before="0" w:after="283"/>
              <w:jc w:val="left"/>
              <w:rPr/>
            </w:pPr>
            <w:r>
              <w:rPr/>
              <w:t>PHP lint</w:t>
            </w:r>
          </w:p>
        </w:tc>
        <w:tc>
          <w:tcPr>
            <w:tcW w:w="5288" w:type="dxa"/>
            <w:tcBorders/>
            <w:vAlign w:val="center"/>
          </w:tcPr>
          <w:p>
            <w:pPr>
              <w:pStyle w:val="TableContents"/>
              <w:bidi w:val="0"/>
              <w:spacing w:before="0" w:after="283"/>
              <w:jc w:val="left"/>
              <w:rPr/>
            </w:pPr>
            <w:r>
              <w:rPr/>
              <w:t>Blocks parse or syntax regressions</w:t>
            </w:r>
          </w:p>
        </w:tc>
      </w:tr>
      <w:tr>
        <w:trPr/>
        <w:tc>
          <w:tcPr>
            <w:tcW w:w="2941" w:type="dxa"/>
            <w:tcBorders/>
            <w:vAlign w:val="center"/>
          </w:tcPr>
          <w:p>
            <w:pPr>
              <w:pStyle w:val="TableContents"/>
              <w:bidi w:val="0"/>
              <w:spacing w:before="0" w:after="283"/>
              <w:jc w:val="left"/>
              <w:rPr/>
            </w:pPr>
            <w:r>
              <w:rPr/>
              <w:t>Structural smoke</w:t>
            </w:r>
          </w:p>
        </w:tc>
        <w:tc>
          <w:tcPr>
            <w:tcW w:w="5288" w:type="dxa"/>
            <w:tcBorders/>
            <w:vAlign w:val="center"/>
          </w:tcPr>
          <w:p>
            <w:pPr>
              <w:pStyle w:val="TableContents"/>
              <w:bidi w:val="0"/>
              <w:spacing w:before="0" w:after="283"/>
              <w:jc w:val="left"/>
              <w:rPr/>
            </w:pPr>
            <w:r>
              <w:rPr/>
              <w:t>Confirms expected file and app structure</w:t>
            </w:r>
          </w:p>
        </w:tc>
      </w:tr>
      <w:tr>
        <w:trPr/>
        <w:tc>
          <w:tcPr>
            <w:tcW w:w="2941" w:type="dxa"/>
            <w:tcBorders/>
            <w:vAlign w:val="center"/>
          </w:tcPr>
          <w:p>
            <w:pPr>
              <w:pStyle w:val="TableContents"/>
              <w:bidi w:val="0"/>
              <w:spacing w:before="0" w:after="283"/>
              <w:jc w:val="left"/>
              <w:rPr/>
            </w:pPr>
            <w:r>
              <w:rPr/>
              <w:t>DB smoke</w:t>
            </w:r>
          </w:p>
        </w:tc>
        <w:tc>
          <w:tcPr>
            <w:tcW w:w="5288" w:type="dxa"/>
            <w:tcBorders/>
            <w:vAlign w:val="center"/>
          </w:tcPr>
          <w:p>
            <w:pPr>
              <w:pStyle w:val="TableContents"/>
              <w:bidi w:val="0"/>
              <w:spacing w:before="0" w:after="283"/>
              <w:jc w:val="left"/>
              <w:rPr/>
            </w:pPr>
            <w:r>
              <w:rPr/>
              <w:t>Confirms runtime database connectivity and seed readiness</w:t>
            </w:r>
          </w:p>
        </w:tc>
      </w:tr>
      <w:tr>
        <w:trPr/>
        <w:tc>
          <w:tcPr>
            <w:tcW w:w="2941" w:type="dxa"/>
            <w:tcBorders/>
            <w:vAlign w:val="center"/>
          </w:tcPr>
          <w:p>
            <w:pPr>
              <w:pStyle w:val="TableContents"/>
              <w:bidi w:val="0"/>
              <w:spacing w:before="0" w:after="283"/>
              <w:jc w:val="left"/>
              <w:rPr/>
            </w:pPr>
            <w:r>
              <w:rPr/>
              <w:t>Browser accessibility</w:t>
            </w:r>
          </w:p>
        </w:tc>
        <w:tc>
          <w:tcPr>
            <w:tcW w:w="5288" w:type="dxa"/>
            <w:tcBorders/>
            <w:vAlign w:val="center"/>
          </w:tcPr>
          <w:p>
            <w:pPr>
              <w:pStyle w:val="TableContents"/>
              <w:bidi w:val="0"/>
              <w:spacing w:before="0" w:after="283"/>
              <w:jc w:val="left"/>
              <w:rPr/>
            </w:pPr>
            <w:r>
              <w:rPr/>
              <w:t>Checks keyboard focus and browser reachability</w:t>
            </w:r>
          </w:p>
        </w:tc>
      </w:tr>
      <w:tr>
        <w:trPr/>
        <w:tc>
          <w:tcPr>
            <w:tcW w:w="2941" w:type="dxa"/>
            <w:tcBorders/>
            <w:vAlign w:val="center"/>
          </w:tcPr>
          <w:p>
            <w:pPr>
              <w:pStyle w:val="TableContents"/>
              <w:bidi w:val="0"/>
              <w:spacing w:before="0" w:after="283"/>
              <w:jc w:val="left"/>
              <w:rPr/>
            </w:pPr>
            <w:r>
              <w:rPr/>
              <w:t>UI regression</w:t>
            </w:r>
          </w:p>
        </w:tc>
        <w:tc>
          <w:tcPr>
            <w:tcW w:w="5288" w:type="dxa"/>
            <w:tcBorders/>
            <w:vAlign w:val="center"/>
          </w:tcPr>
          <w:p>
            <w:pPr>
              <w:pStyle w:val="TableContents"/>
              <w:bidi w:val="0"/>
              <w:spacing w:before="0" w:after="283"/>
              <w:jc w:val="left"/>
              <w:rPr/>
            </w:pPr>
            <w:r>
              <w:rPr/>
              <w:t>Protects the shared shell, modal, toast, and split date/time contract</w:t>
            </w:r>
          </w:p>
        </w:tc>
      </w:tr>
      <w:tr>
        <w:trPr/>
        <w:tc>
          <w:tcPr>
            <w:tcW w:w="2941" w:type="dxa"/>
            <w:tcBorders/>
            <w:vAlign w:val="center"/>
          </w:tcPr>
          <w:p>
            <w:pPr>
              <w:pStyle w:val="TableContents"/>
              <w:bidi w:val="0"/>
              <w:spacing w:before="0" w:after="283"/>
              <w:jc w:val="left"/>
              <w:rPr/>
            </w:pPr>
            <w:r>
              <w:rPr/>
              <w:t>Load profile</w:t>
            </w:r>
          </w:p>
        </w:tc>
        <w:tc>
          <w:tcPr>
            <w:tcW w:w="5288" w:type="dxa"/>
            <w:tcBorders/>
            <w:vAlign w:val="center"/>
          </w:tcPr>
          <w:p>
            <w:pPr>
              <w:pStyle w:val="TableContents"/>
              <w:bidi w:val="0"/>
              <w:spacing w:before="0" w:after="283"/>
              <w:jc w:val="left"/>
              <w:rPr/>
            </w:pPr>
            <w:r>
              <w:rPr/>
              <w:t>Samples repeated timings for critical flows</w:t>
            </w:r>
          </w:p>
        </w:tc>
      </w:tr>
      <w:tr>
        <w:trPr/>
        <w:tc>
          <w:tcPr>
            <w:tcW w:w="2941" w:type="dxa"/>
            <w:tcBorders/>
            <w:vAlign w:val="center"/>
          </w:tcPr>
          <w:p>
            <w:pPr>
              <w:pStyle w:val="TableContents"/>
              <w:bidi w:val="0"/>
              <w:spacing w:before="0" w:after="283"/>
              <w:jc w:val="left"/>
              <w:rPr/>
            </w:pPr>
            <w:r>
              <w:rPr/>
              <w:t>Route matrix</w:t>
            </w:r>
          </w:p>
        </w:tc>
        <w:tc>
          <w:tcPr>
            <w:tcW w:w="5288" w:type="dxa"/>
            <w:tcBorders/>
            <w:vAlign w:val="center"/>
          </w:tcPr>
          <w:p>
            <w:pPr>
              <w:pStyle w:val="TableContents"/>
              <w:bidi w:val="0"/>
              <w:spacing w:before="0" w:after="283"/>
              <w:jc w:val="left"/>
              <w:rPr/>
            </w:pPr>
            <w:r>
              <w:rPr/>
              <w:t>Proves breadth of browser and representative JSON routes</w:t>
            </w:r>
          </w:p>
        </w:tc>
      </w:tr>
      <w:tr>
        <w:trPr/>
        <w:tc>
          <w:tcPr>
            <w:tcW w:w="2941" w:type="dxa"/>
            <w:tcBorders/>
            <w:vAlign w:val="center"/>
          </w:tcPr>
          <w:p>
            <w:pPr>
              <w:pStyle w:val="TableContents"/>
              <w:bidi w:val="0"/>
              <w:spacing w:before="0" w:after="283"/>
              <w:jc w:val="left"/>
              <w:rPr/>
            </w:pPr>
            <w:r>
              <w:rPr/>
              <w:t>Runtime hardening</w:t>
            </w:r>
          </w:p>
        </w:tc>
        <w:tc>
          <w:tcPr>
            <w:tcW w:w="5288" w:type="dxa"/>
            <w:tcBorders/>
            <w:vAlign w:val="center"/>
          </w:tcPr>
          <w:p>
            <w:pPr>
              <w:pStyle w:val="TableContents"/>
              <w:bidi w:val="0"/>
              <w:spacing w:before="0" w:after="283"/>
              <w:jc w:val="left"/>
              <w:rPr/>
            </w:pPr>
            <w:r>
              <w:rPr/>
              <w:t>Checks write-path security, session, CSRF, and audit expectations</w:t>
            </w:r>
          </w:p>
        </w:tc>
      </w:tr>
      <w:tr>
        <w:trPr/>
        <w:tc>
          <w:tcPr>
            <w:tcW w:w="2941" w:type="dxa"/>
            <w:tcBorders/>
            <w:vAlign w:val="center"/>
          </w:tcPr>
          <w:p>
            <w:pPr>
              <w:pStyle w:val="TableContents"/>
              <w:bidi w:val="0"/>
              <w:spacing w:before="0" w:after="283"/>
              <w:jc w:val="left"/>
              <w:rPr/>
            </w:pPr>
            <w:r>
              <w:rPr/>
              <w:t>API POST regression</w:t>
            </w:r>
          </w:p>
        </w:tc>
        <w:tc>
          <w:tcPr>
            <w:tcW w:w="5288" w:type="dxa"/>
            <w:tcBorders/>
            <w:vAlign w:val="center"/>
          </w:tcPr>
          <w:p>
            <w:pPr>
              <w:pStyle w:val="TableContents"/>
              <w:bidi w:val="0"/>
              <w:spacing w:before="0" w:after="283"/>
              <w:jc w:val="left"/>
              <w:rPr/>
            </w:pPr>
            <w:r>
              <w:rPr/>
              <w:t>Validates representative mutating JSON endpoints</w:t>
            </w:r>
          </w:p>
        </w:tc>
      </w:tr>
      <w:tr>
        <w:trPr/>
        <w:tc>
          <w:tcPr>
            <w:tcW w:w="2941" w:type="dxa"/>
            <w:tcBorders/>
            <w:vAlign w:val="center"/>
          </w:tcPr>
          <w:p>
            <w:pPr>
              <w:pStyle w:val="TableContents"/>
              <w:bidi w:val="0"/>
              <w:spacing w:before="0" w:after="283"/>
              <w:jc w:val="left"/>
              <w:rPr/>
            </w:pPr>
            <w:r>
              <w:rPr/>
              <w:t>NFR sanity</w:t>
            </w:r>
          </w:p>
        </w:tc>
        <w:tc>
          <w:tcPr>
            <w:tcW w:w="5288" w:type="dxa"/>
            <w:tcBorders/>
            <w:vAlign w:val="center"/>
          </w:tcPr>
          <w:p>
            <w:pPr>
              <w:pStyle w:val="TableContents"/>
              <w:bidi w:val="0"/>
              <w:spacing w:before="0" w:after="283"/>
              <w:jc w:val="left"/>
              <w:rPr/>
            </w:pPr>
            <w:r>
              <w:rPr/>
              <w:t>Checks non-functional guardrails and representative timings</w:t>
            </w:r>
          </w:p>
        </w:tc>
      </w:tr>
      <w:tr>
        <w:trPr/>
        <w:tc>
          <w:tcPr>
            <w:tcW w:w="2941" w:type="dxa"/>
            <w:tcBorders/>
            <w:vAlign w:val="center"/>
          </w:tcPr>
          <w:p>
            <w:pPr>
              <w:pStyle w:val="TableContents"/>
              <w:bidi w:val="0"/>
              <w:spacing w:before="0" w:after="283"/>
              <w:jc w:val="left"/>
              <w:rPr/>
            </w:pPr>
            <w:r>
              <w:rPr/>
              <w:t>Role UAT</w:t>
            </w:r>
          </w:p>
        </w:tc>
        <w:tc>
          <w:tcPr>
            <w:tcW w:w="5288" w:type="dxa"/>
            <w:tcBorders/>
            <w:vAlign w:val="center"/>
          </w:tcPr>
          <w:p>
            <w:pPr>
              <w:pStyle w:val="TableContents"/>
              <w:bidi w:val="0"/>
              <w:spacing w:before="0" w:after="283"/>
              <w:jc w:val="left"/>
              <w:rPr/>
            </w:pPr>
            <w:r>
              <w:rPr/>
              <w:t>Confirms seeded role expectations across browser flows</w:t>
            </w:r>
          </w:p>
        </w:tc>
      </w:tr>
    </w:tbl>
    <w:p>
      <w:pPr>
        <w:pStyle w:val="BodyText"/>
        <w:bidi w:val="0"/>
        <w:jc w:val="left"/>
        <w:rPr/>
      </w:pPr>
      <w:r>
        <w:rPr/>
        <w:t xml:space="preserve">Repository-level CI enforcement is handled by </w:t>
      </w:r>
      <w:r>
        <w:rPr>
          <w:rStyle w:val="SourceText"/>
        </w:rPr>
        <w:t>.github/workflows/ct2_quality_gate.yml</w:t>
      </w:r>
      <w:r>
        <w:rPr/>
        <w:t xml:space="preserve">. Release packaging and optional cPanel deployment are handled by </w:t>
      </w:r>
      <w:r>
        <w:rPr>
          <w:rStyle w:val="SourceText"/>
        </w:rPr>
        <w:t>.github/workflows/ct2_cpanel_release_pipeline.yml</w:t>
      </w:r>
      <w:r>
        <w:rPr/>
        <w:t xml:space="preserve">. </w:t>
      </w:r>
    </w:p>
    <w:p>
      <w:pPr>
        <w:pStyle w:val="Heading2"/>
        <w:bidi w:val="0"/>
        <w:jc w:val="left"/>
        <w:rPr/>
      </w:pPr>
      <w:r>
        <w:rPr/>
        <w:t>11. cPanel Release, Deployment, And Rollback</w:t>
      </w:r>
    </w:p>
    <w:p>
      <w:pPr>
        <w:pStyle w:val="Heading3"/>
        <w:bidi w:val="0"/>
        <w:jc w:val="left"/>
        <w:rPr/>
      </w:pPr>
      <w:r>
        <w:rPr/>
        <w:t>Release flow</w:t>
      </w:r>
    </w:p>
    <w:p>
      <w:pPr>
        <w:pStyle w:val="BodyText"/>
        <w:numPr>
          <w:ilvl w:val="0"/>
          <w:numId w:val="10"/>
        </w:numPr>
        <w:tabs>
          <w:tab w:val="clear" w:pos="1134"/>
          <w:tab w:val="left" w:pos="1956" w:leader="none"/>
        </w:tabs>
        <w:bidi w:val="0"/>
        <w:spacing w:before="0" w:after="0"/>
        <w:ind w:hanging="283" w:left="1956"/>
        <w:jc w:val="left"/>
        <w:rPr/>
      </w:pPr>
      <w:r>
        <w:rPr/>
        <w:t xml:space="preserve">GitHub Actions runs the strict suite on the release candidate. </w:t>
      </w:r>
    </w:p>
    <w:p>
      <w:pPr>
        <w:pStyle w:val="BodyText"/>
        <w:numPr>
          <w:ilvl w:val="0"/>
          <w:numId w:val="10"/>
        </w:numPr>
        <w:tabs>
          <w:tab w:val="clear" w:pos="1134"/>
          <w:tab w:val="left" w:pos="1956" w:leader="none"/>
        </w:tabs>
        <w:bidi w:val="0"/>
        <w:spacing w:before="0" w:after="0"/>
        <w:ind w:hanging="283" w:left="1956"/>
        <w:jc w:val="left"/>
        <w:rPr/>
      </w:pPr>
      <w:r>
        <w:rPr/>
        <w:t xml:space="preserve">A validated artifact is built with </w:t>
      </w:r>
      <w:r>
        <w:rPr>
          <w:rStyle w:val="SourceText"/>
        </w:rPr>
        <w:t>ct2_release_artifact.sh</w:t>
      </w:r>
      <w:r>
        <w:rPr/>
        <w:t xml:space="preserve">. </w:t>
      </w:r>
    </w:p>
    <w:p>
      <w:pPr>
        <w:pStyle w:val="BodyText"/>
        <w:numPr>
          <w:ilvl w:val="0"/>
          <w:numId w:val="10"/>
        </w:numPr>
        <w:tabs>
          <w:tab w:val="clear" w:pos="1134"/>
          <w:tab w:val="left" w:pos="1956" w:leader="none"/>
        </w:tabs>
        <w:bidi w:val="0"/>
        <w:spacing w:before="0" w:after="0"/>
        <w:ind w:hanging="283" w:left="1956"/>
        <w:jc w:val="left"/>
        <w:rPr/>
      </w:pPr>
      <w:r>
        <w:rPr/>
        <w:t xml:space="preserve">The artifact is uploaded to cPanel over SSH. </w:t>
      </w:r>
    </w:p>
    <w:p>
      <w:pPr>
        <w:pStyle w:val="BodyText"/>
        <w:numPr>
          <w:ilvl w:val="0"/>
          <w:numId w:val="10"/>
        </w:numPr>
        <w:tabs>
          <w:tab w:val="clear" w:pos="1134"/>
          <w:tab w:val="left" w:pos="1956" w:leader="none"/>
        </w:tabs>
        <w:bidi w:val="0"/>
        <w:spacing w:before="0" w:after="0"/>
        <w:ind w:hanging="283" w:left="1956"/>
        <w:jc w:val="left"/>
        <w:rPr/>
      </w:pPr>
      <w:r>
        <w:rPr/>
        <w:t xml:space="preserve">A new release directory is created under </w:t>
      </w:r>
      <w:r>
        <w:rPr>
          <w:rStyle w:val="SourceText"/>
        </w:rPr>
        <w:t>&lt;deploy-path&gt;/releases/</w:t>
      </w:r>
      <w:r>
        <w:rPr/>
        <w:t xml:space="preserve">. </w:t>
      </w:r>
    </w:p>
    <w:p>
      <w:pPr>
        <w:pStyle w:val="BodyText"/>
        <w:numPr>
          <w:ilvl w:val="0"/>
          <w:numId w:val="10"/>
        </w:numPr>
        <w:tabs>
          <w:tab w:val="clear" w:pos="1134"/>
          <w:tab w:val="left" w:pos="1956" w:leader="none"/>
        </w:tabs>
        <w:bidi w:val="0"/>
        <w:spacing w:before="0" w:after="0"/>
        <w:ind w:hanging="283" w:left="1956"/>
        <w:jc w:val="left"/>
        <w:rPr/>
      </w:pPr>
      <w:r>
        <w:rPr/>
        <w:t xml:space="preserve">Shared config and writable storage are linked into the new release. </w:t>
      </w:r>
    </w:p>
    <w:p>
      <w:pPr>
        <w:pStyle w:val="BodyText"/>
        <w:numPr>
          <w:ilvl w:val="0"/>
          <w:numId w:val="10"/>
        </w:numPr>
        <w:tabs>
          <w:tab w:val="clear" w:pos="1134"/>
          <w:tab w:val="left" w:pos="1956" w:leader="none"/>
        </w:tabs>
        <w:bidi w:val="0"/>
        <w:spacing w:before="0" w:after="0"/>
        <w:ind w:hanging="283" w:left="1956"/>
        <w:jc w:val="left"/>
        <w:rPr/>
      </w:pPr>
      <w:r>
        <w:rPr/>
        <w:t xml:space="preserve">Pre-live checks run on the target before the release is switched live. </w:t>
      </w:r>
    </w:p>
    <w:p>
      <w:pPr>
        <w:pStyle w:val="BodyText"/>
        <w:numPr>
          <w:ilvl w:val="0"/>
          <w:numId w:val="10"/>
        </w:numPr>
        <w:tabs>
          <w:tab w:val="clear" w:pos="1134"/>
          <w:tab w:val="left" w:pos="1956" w:leader="none"/>
        </w:tabs>
        <w:bidi w:val="0"/>
        <w:spacing w:before="0" w:after="0"/>
        <w:ind w:hanging="283" w:left="1956"/>
        <w:jc w:val="left"/>
        <w:rPr/>
      </w:pPr>
      <w:r>
        <w:rPr/>
        <w:t xml:space="preserve">The </w:t>
      </w:r>
      <w:r>
        <w:rPr>
          <w:rStyle w:val="SourceText"/>
        </w:rPr>
        <w:t>current</w:t>
      </w:r>
      <w:r>
        <w:rPr/>
        <w:t xml:space="preserve"> symlink is advanced. </w:t>
      </w:r>
    </w:p>
    <w:p>
      <w:pPr>
        <w:pStyle w:val="BodyText"/>
        <w:numPr>
          <w:ilvl w:val="0"/>
          <w:numId w:val="10"/>
        </w:numPr>
        <w:tabs>
          <w:tab w:val="clear" w:pos="1134"/>
          <w:tab w:val="left" w:pos="1956" w:leader="none"/>
        </w:tabs>
        <w:bidi w:val="0"/>
        <w:spacing w:before="0" w:after="0"/>
        <w:ind w:hanging="283" w:left="1956"/>
        <w:jc w:val="left"/>
        <w:rPr/>
      </w:pPr>
      <w:r>
        <w:rPr/>
        <w:t xml:space="preserve">A live HTTP health check validates the public URL. </w:t>
      </w:r>
    </w:p>
    <w:p>
      <w:pPr>
        <w:pStyle w:val="BodyText"/>
        <w:numPr>
          <w:ilvl w:val="0"/>
          <w:numId w:val="10"/>
        </w:numPr>
        <w:tabs>
          <w:tab w:val="clear" w:pos="1134"/>
          <w:tab w:val="left" w:pos="1956" w:leader="none"/>
        </w:tabs>
        <w:bidi w:val="0"/>
        <w:ind w:hanging="283" w:left="1956"/>
        <w:jc w:val="left"/>
        <w:rPr/>
      </w:pPr>
      <w:r>
        <w:rPr/>
        <w:t xml:space="preserve">If the post-switch check fails, the workflow restores the previous release. </w:t>
      </w:r>
    </w:p>
    <w:p>
      <w:pPr>
        <w:pStyle w:val="Heading3"/>
        <w:bidi w:val="0"/>
        <w:jc w:val="left"/>
        <w:rPr/>
      </w:pPr>
      <w:r>
        <w:rPr/>
        <w:t>cPanel directory contract</w:t>
      </w:r>
    </w:p>
    <w:tbl>
      <w:tblPr>
        <w:tblW w:w="8229" w:type="dxa"/>
        <w:jc w:val="left"/>
        <w:tblInd w:w="0" w:type="dxa"/>
        <w:tblLayout w:type="fixed"/>
        <w:tblCellMar>
          <w:top w:w="28" w:type="dxa"/>
          <w:left w:w="28" w:type="dxa"/>
          <w:bottom w:w="28" w:type="dxa"/>
          <w:right w:w="28" w:type="dxa"/>
        </w:tblCellMar>
      </w:tblPr>
      <w:tblGrid>
        <w:gridCol w:w="2602"/>
        <w:gridCol w:w="5627"/>
      </w:tblGrid>
      <w:tr>
        <w:trPr>
          <w:tblHeader w:val="true"/>
        </w:trPr>
        <w:tc>
          <w:tcPr>
            <w:tcW w:w="2602" w:type="dxa"/>
            <w:tcBorders/>
            <w:vAlign w:val="center"/>
          </w:tcPr>
          <w:p>
            <w:pPr>
              <w:pStyle w:val="TableHeading"/>
              <w:suppressLineNumbers/>
              <w:bidi w:val="0"/>
              <w:spacing w:before="0" w:after="283"/>
              <w:jc w:val="center"/>
              <w:rPr/>
            </w:pPr>
            <w:r>
              <w:rPr/>
              <w:t>Path type</w:t>
            </w:r>
          </w:p>
        </w:tc>
        <w:tc>
          <w:tcPr>
            <w:tcW w:w="5627" w:type="dxa"/>
            <w:tcBorders/>
            <w:vAlign w:val="center"/>
          </w:tcPr>
          <w:p>
            <w:pPr>
              <w:pStyle w:val="TableHeading"/>
              <w:suppressLineNumbers/>
              <w:bidi w:val="0"/>
              <w:spacing w:before="0" w:after="283"/>
              <w:jc w:val="center"/>
              <w:rPr/>
            </w:pPr>
            <w:r>
              <w:rPr/>
              <w:t>Contract</w:t>
            </w:r>
          </w:p>
        </w:tc>
      </w:tr>
      <w:tr>
        <w:trPr/>
        <w:tc>
          <w:tcPr>
            <w:tcW w:w="2602" w:type="dxa"/>
            <w:tcBorders/>
            <w:vAlign w:val="center"/>
          </w:tcPr>
          <w:p>
            <w:pPr>
              <w:pStyle w:val="TableContents"/>
              <w:bidi w:val="0"/>
              <w:spacing w:before="0" w:after="283"/>
              <w:jc w:val="left"/>
              <w:rPr/>
            </w:pPr>
            <w:r>
              <w:rPr/>
              <w:t>Deploy root</w:t>
            </w:r>
          </w:p>
        </w:tc>
        <w:tc>
          <w:tcPr>
            <w:tcW w:w="5627" w:type="dxa"/>
            <w:tcBorders/>
            <w:vAlign w:val="center"/>
          </w:tcPr>
          <w:p>
            <w:pPr>
              <w:pStyle w:val="TableContents"/>
              <w:bidi w:val="0"/>
              <w:spacing w:before="0" w:after="283"/>
              <w:jc w:val="left"/>
              <w:rPr/>
            </w:pPr>
            <w:r>
              <w:rPr>
                <w:rStyle w:val="SourceText"/>
              </w:rPr>
              <w:t>&lt;deploy-path&gt;/releases/&lt;release-name&gt;</w:t>
            </w:r>
          </w:p>
        </w:tc>
      </w:tr>
      <w:tr>
        <w:trPr/>
        <w:tc>
          <w:tcPr>
            <w:tcW w:w="2602" w:type="dxa"/>
            <w:tcBorders/>
            <w:vAlign w:val="center"/>
          </w:tcPr>
          <w:p>
            <w:pPr>
              <w:pStyle w:val="TableContents"/>
              <w:bidi w:val="0"/>
              <w:spacing w:before="0" w:after="283"/>
              <w:jc w:val="left"/>
              <w:rPr/>
            </w:pPr>
            <w:r>
              <w:rPr/>
              <w:t>Active release</w:t>
            </w:r>
          </w:p>
        </w:tc>
        <w:tc>
          <w:tcPr>
            <w:tcW w:w="5627" w:type="dxa"/>
            <w:tcBorders/>
            <w:vAlign w:val="center"/>
          </w:tcPr>
          <w:p>
            <w:pPr>
              <w:pStyle w:val="TableContents"/>
              <w:bidi w:val="0"/>
              <w:spacing w:before="0" w:after="283"/>
              <w:jc w:val="left"/>
              <w:rPr/>
            </w:pPr>
            <w:r>
              <w:rPr>
                <w:rStyle w:val="SourceText"/>
              </w:rPr>
              <w:t>&lt;deploy-path&gt;/current</w:t>
            </w:r>
          </w:p>
        </w:tc>
      </w:tr>
      <w:tr>
        <w:trPr/>
        <w:tc>
          <w:tcPr>
            <w:tcW w:w="2602" w:type="dxa"/>
            <w:tcBorders/>
            <w:vAlign w:val="center"/>
          </w:tcPr>
          <w:p>
            <w:pPr>
              <w:pStyle w:val="TableContents"/>
              <w:bidi w:val="0"/>
              <w:spacing w:before="0" w:after="283"/>
              <w:jc w:val="left"/>
              <w:rPr/>
            </w:pPr>
            <w:r>
              <w:rPr/>
              <w:t>Shared config</w:t>
            </w:r>
          </w:p>
        </w:tc>
        <w:tc>
          <w:tcPr>
            <w:tcW w:w="5627" w:type="dxa"/>
            <w:tcBorders/>
            <w:vAlign w:val="center"/>
          </w:tcPr>
          <w:p>
            <w:pPr>
              <w:pStyle w:val="TableContents"/>
              <w:bidi w:val="0"/>
              <w:spacing w:before="0" w:after="283"/>
              <w:jc w:val="left"/>
              <w:rPr/>
            </w:pPr>
            <w:r>
              <w:rPr>
                <w:rStyle w:val="SourceText"/>
              </w:rPr>
              <w:t>&lt;deploy-path&gt;/shared/config/ct2_local.php</w:t>
            </w:r>
          </w:p>
        </w:tc>
      </w:tr>
      <w:tr>
        <w:trPr/>
        <w:tc>
          <w:tcPr>
            <w:tcW w:w="2602" w:type="dxa"/>
            <w:tcBorders/>
            <w:vAlign w:val="center"/>
          </w:tcPr>
          <w:p>
            <w:pPr>
              <w:pStyle w:val="TableContents"/>
              <w:bidi w:val="0"/>
              <w:spacing w:before="0" w:after="283"/>
              <w:jc w:val="left"/>
              <w:rPr/>
            </w:pPr>
            <w:r>
              <w:rPr/>
              <w:t>Shared uploads</w:t>
            </w:r>
          </w:p>
        </w:tc>
        <w:tc>
          <w:tcPr>
            <w:tcW w:w="5627" w:type="dxa"/>
            <w:tcBorders/>
            <w:vAlign w:val="center"/>
          </w:tcPr>
          <w:p>
            <w:pPr>
              <w:pStyle w:val="TableContents"/>
              <w:bidi w:val="0"/>
              <w:spacing w:before="0" w:after="283"/>
              <w:jc w:val="left"/>
              <w:rPr/>
            </w:pPr>
            <w:r>
              <w:rPr>
                <w:rStyle w:val="SourceText"/>
              </w:rPr>
              <w:t>&lt;deploy-path&gt;/shared/storage/uploads/</w:t>
            </w:r>
          </w:p>
        </w:tc>
      </w:tr>
      <w:tr>
        <w:trPr/>
        <w:tc>
          <w:tcPr>
            <w:tcW w:w="2602" w:type="dxa"/>
            <w:tcBorders/>
            <w:vAlign w:val="center"/>
          </w:tcPr>
          <w:p>
            <w:pPr>
              <w:pStyle w:val="TableContents"/>
              <w:bidi w:val="0"/>
              <w:spacing w:before="0" w:after="283"/>
              <w:jc w:val="left"/>
              <w:rPr/>
            </w:pPr>
            <w:r>
              <w:rPr/>
              <w:t>Shared sessions</w:t>
            </w:r>
          </w:p>
        </w:tc>
        <w:tc>
          <w:tcPr>
            <w:tcW w:w="5627" w:type="dxa"/>
            <w:tcBorders/>
            <w:vAlign w:val="center"/>
          </w:tcPr>
          <w:p>
            <w:pPr>
              <w:pStyle w:val="TableContents"/>
              <w:bidi w:val="0"/>
              <w:spacing w:before="0" w:after="283"/>
              <w:jc w:val="left"/>
              <w:rPr/>
            </w:pPr>
            <w:r>
              <w:rPr>
                <w:rStyle w:val="SourceText"/>
              </w:rPr>
              <w:t>&lt;deploy-path&gt;/shared/storage/sessions/</w:t>
            </w:r>
          </w:p>
        </w:tc>
      </w:tr>
      <w:tr>
        <w:trPr/>
        <w:tc>
          <w:tcPr>
            <w:tcW w:w="2602" w:type="dxa"/>
            <w:tcBorders/>
            <w:vAlign w:val="center"/>
          </w:tcPr>
          <w:p>
            <w:pPr>
              <w:pStyle w:val="TableContents"/>
              <w:bidi w:val="0"/>
              <w:spacing w:before="0" w:after="283"/>
              <w:jc w:val="left"/>
              <w:rPr/>
            </w:pPr>
            <w:r>
              <w:rPr/>
              <w:t>Shared public mapping</w:t>
            </w:r>
          </w:p>
        </w:tc>
        <w:tc>
          <w:tcPr>
            <w:tcW w:w="5627" w:type="dxa"/>
            <w:tcBorders/>
            <w:vAlign w:val="center"/>
          </w:tcPr>
          <w:p>
            <w:pPr>
              <w:pStyle w:val="TableContents"/>
              <w:bidi w:val="0"/>
              <w:spacing w:before="0" w:after="283"/>
              <w:jc w:val="left"/>
              <w:rPr/>
            </w:pPr>
            <w:r>
              <w:rPr>
                <w:rStyle w:val="SourceText"/>
              </w:rPr>
              <w:t>CT2_CPANEL_PUBLIC_PATH</w:t>
            </w:r>
            <w:r>
              <w:rPr/>
              <w:t xml:space="preserve"> may point to </w:t>
            </w:r>
            <w:r>
              <w:rPr>
                <w:rStyle w:val="SourceText"/>
              </w:rPr>
              <w:t>/home/&lt;user&gt;/public_html/ct2</w:t>
            </w:r>
            <w:r>
              <w:rPr/>
              <w:t xml:space="preserve"> for shared-domain deployment</w:t>
            </w:r>
          </w:p>
        </w:tc>
      </w:tr>
    </w:tbl>
    <w:p>
      <w:pPr>
        <w:pStyle w:val="Heading3"/>
        <w:bidi w:val="0"/>
        <w:jc w:val="left"/>
        <w:rPr/>
      </w:pPr>
      <w:r>
        <w:rPr/>
        <w:t>Current hosted model</w:t>
      </w:r>
    </w:p>
    <w:p>
      <w:pPr>
        <w:pStyle w:val="BodyText"/>
        <w:bidi w:val="0"/>
        <w:jc w:val="left"/>
        <w:rPr/>
      </w:pPr>
      <w:r>
        <w:rPr/>
        <w:t xml:space="preserve">CT2 is designed to coexist with multiple systems on a single cPanel account. The correct model is to keep CT2 releases isolated outside </w:t>
      </w:r>
      <w:r>
        <w:rPr>
          <w:rStyle w:val="SourceText"/>
        </w:rPr>
        <w:t>public_html</w:t>
      </w:r>
      <w:r>
        <w:rPr/>
        <w:t xml:space="preserve">, for example under </w:t>
      </w:r>
      <w:r>
        <w:rPr>
          <w:rStyle w:val="SourceText"/>
        </w:rPr>
        <w:t>/home/&lt;user&gt;/apps/ct2</w:t>
      </w:r>
      <w:r>
        <w:rPr/>
        <w:t xml:space="preserve">, and expose the active release through a public path such as </w:t>
      </w:r>
      <w:r>
        <w:rPr>
          <w:rStyle w:val="SourceText"/>
        </w:rPr>
        <w:t>/home/&lt;user&gt;/public_html/ct2</w:t>
      </w:r>
      <w:r>
        <w:rPr/>
        <w:t xml:space="preserve">. This keeps config, storage, and release lifecycle separate from other hosted applications. </w:t>
      </w:r>
    </w:p>
    <w:p>
      <w:pPr>
        <w:pStyle w:val="Heading3"/>
        <w:bidi w:val="0"/>
        <w:jc w:val="left"/>
        <w:rPr/>
      </w:pPr>
      <w:r>
        <w:rPr/>
        <w:t>Rollback scope</w:t>
      </w:r>
    </w:p>
    <w:p>
      <w:pPr>
        <w:pStyle w:val="BodyText"/>
        <w:numPr>
          <w:ilvl w:val="0"/>
          <w:numId w:val="11"/>
        </w:numPr>
        <w:tabs>
          <w:tab w:val="clear" w:pos="1134"/>
          <w:tab w:val="left" w:pos="1956" w:leader="none"/>
        </w:tabs>
        <w:bidi w:val="0"/>
        <w:spacing w:before="0" w:after="0"/>
        <w:ind w:hanging="283" w:left="1956"/>
        <w:jc w:val="left"/>
        <w:rPr/>
      </w:pPr>
      <w:r>
        <w:rPr/>
        <w:t xml:space="preserve">Restore the previous </w:t>
      </w:r>
      <w:r>
        <w:rPr>
          <w:rStyle w:val="SourceText"/>
        </w:rPr>
        <w:t>current</w:t>
      </w:r>
      <w:r>
        <w:rPr/>
        <w:t xml:space="preserve"> symlink or release pointer </w:t>
      </w:r>
    </w:p>
    <w:p>
      <w:pPr>
        <w:pStyle w:val="BodyText"/>
        <w:numPr>
          <w:ilvl w:val="0"/>
          <w:numId w:val="11"/>
        </w:numPr>
        <w:tabs>
          <w:tab w:val="clear" w:pos="1134"/>
          <w:tab w:val="left" w:pos="1956" w:leader="none"/>
        </w:tabs>
        <w:bidi w:val="0"/>
        <w:spacing w:before="0" w:after="0"/>
        <w:ind w:hanging="283" w:left="1956"/>
        <w:jc w:val="left"/>
        <w:rPr/>
      </w:pPr>
      <w:r>
        <w:rPr/>
        <w:t xml:space="preserve">Restore the pre-deploy MySQL backup if schema or seeded data was changed </w:t>
      </w:r>
    </w:p>
    <w:p>
      <w:pPr>
        <w:pStyle w:val="BodyText"/>
        <w:numPr>
          <w:ilvl w:val="0"/>
          <w:numId w:val="11"/>
        </w:numPr>
        <w:tabs>
          <w:tab w:val="clear" w:pos="1134"/>
          <w:tab w:val="left" w:pos="1956" w:leader="none"/>
        </w:tabs>
        <w:bidi w:val="0"/>
        <w:spacing w:before="0" w:after="0"/>
        <w:ind w:hanging="283" w:left="1956"/>
        <w:jc w:val="left"/>
        <w:rPr/>
      </w:pPr>
      <w:r>
        <w:rPr/>
        <w:t xml:space="preserve">Restore uploads if the failed release affected shared upload state </w:t>
      </w:r>
    </w:p>
    <w:p>
      <w:pPr>
        <w:pStyle w:val="BodyText"/>
        <w:numPr>
          <w:ilvl w:val="0"/>
          <w:numId w:val="11"/>
        </w:numPr>
        <w:tabs>
          <w:tab w:val="clear" w:pos="1134"/>
          <w:tab w:val="left" w:pos="1956" w:leader="none"/>
        </w:tabs>
        <w:bidi w:val="0"/>
        <w:ind w:hanging="283" w:left="1956"/>
        <w:jc w:val="left"/>
        <w:rPr/>
      </w:pPr>
      <w:r>
        <w:rPr/>
        <w:t xml:space="preserve">Re-run post-deploy and live health checks before reopening access </w:t>
      </w:r>
    </w:p>
    <w:p>
      <w:pPr>
        <w:pStyle w:val="Heading2"/>
        <w:bidi w:val="0"/>
        <w:jc w:val="left"/>
        <w:rPr/>
      </w:pPr>
      <w:r>
        <w:rPr/>
        <w:t>12. Daily Operations And Support Workflow</w:t>
      </w:r>
    </w:p>
    <w:p>
      <w:pPr>
        <w:pStyle w:val="BodyText"/>
        <w:numPr>
          <w:ilvl w:val="0"/>
          <w:numId w:val="12"/>
        </w:numPr>
        <w:tabs>
          <w:tab w:val="clear" w:pos="1134"/>
          <w:tab w:val="left" w:pos="1956" w:leader="none"/>
        </w:tabs>
        <w:bidi w:val="0"/>
        <w:spacing w:before="0" w:after="0"/>
        <w:ind w:hanging="283" w:left="1956"/>
        <w:jc w:val="left"/>
        <w:rPr/>
      </w:pPr>
      <w:r>
        <w:rPr/>
        <w:t xml:space="preserve">Confirm login still works for an authorized account. </w:t>
      </w:r>
    </w:p>
    <w:p>
      <w:pPr>
        <w:pStyle w:val="BodyText"/>
        <w:numPr>
          <w:ilvl w:val="0"/>
          <w:numId w:val="12"/>
        </w:numPr>
        <w:tabs>
          <w:tab w:val="clear" w:pos="1134"/>
          <w:tab w:val="left" w:pos="1956" w:leader="none"/>
        </w:tabs>
        <w:bidi w:val="0"/>
        <w:spacing w:before="0" w:after="0"/>
        <w:ind w:hanging="283" w:left="1956"/>
        <w:jc w:val="left"/>
        <w:rPr/>
      </w:pPr>
      <w:r>
        <w:rPr/>
        <w:t xml:space="preserve">Confirm the dashboard loads without warnings or broken counts. </w:t>
      </w:r>
    </w:p>
    <w:p>
      <w:pPr>
        <w:pStyle w:val="BodyText"/>
        <w:numPr>
          <w:ilvl w:val="0"/>
          <w:numId w:val="12"/>
        </w:numPr>
        <w:tabs>
          <w:tab w:val="clear" w:pos="1134"/>
          <w:tab w:val="left" w:pos="1956" w:leader="none"/>
        </w:tabs>
        <w:bidi w:val="0"/>
        <w:spacing w:before="0" w:after="0"/>
        <w:ind w:hanging="283" w:left="1956"/>
        <w:jc w:val="left"/>
        <w:rPr/>
      </w:pPr>
      <w:r>
        <w:rPr/>
        <w:t xml:space="preserve">Check the approvals queue, visa workflow, and one representative JSON endpoint. </w:t>
      </w:r>
    </w:p>
    <w:p>
      <w:pPr>
        <w:pStyle w:val="BodyText"/>
        <w:numPr>
          <w:ilvl w:val="0"/>
          <w:numId w:val="12"/>
        </w:numPr>
        <w:tabs>
          <w:tab w:val="clear" w:pos="1134"/>
          <w:tab w:val="left" w:pos="1956" w:leader="none"/>
        </w:tabs>
        <w:bidi w:val="0"/>
        <w:spacing w:before="0" w:after="0"/>
        <w:ind w:hanging="283" w:left="1956"/>
        <w:jc w:val="left"/>
        <w:rPr/>
      </w:pPr>
      <w:r>
        <w:rPr/>
        <w:t xml:space="preserve">Verify exports still download and uploads still write to shared storage. </w:t>
      </w:r>
    </w:p>
    <w:p>
      <w:pPr>
        <w:pStyle w:val="BodyText"/>
        <w:numPr>
          <w:ilvl w:val="0"/>
          <w:numId w:val="12"/>
        </w:numPr>
        <w:tabs>
          <w:tab w:val="clear" w:pos="1134"/>
          <w:tab w:val="left" w:pos="1956" w:leader="none"/>
        </w:tabs>
        <w:bidi w:val="0"/>
        <w:spacing w:before="0" w:after="0"/>
        <w:ind w:hanging="283" w:left="1956"/>
        <w:jc w:val="left"/>
        <w:rPr/>
      </w:pPr>
      <w:r>
        <w:rPr/>
        <w:t xml:space="preserve">Review GitHub Actions and the latest release evidence before any change window. </w:t>
      </w:r>
    </w:p>
    <w:p>
      <w:pPr>
        <w:pStyle w:val="BodyText"/>
        <w:numPr>
          <w:ilvl w:val="0"/>
          <w:numId w:val="12"/>
        </w:numPr>
        <w:tabs>
          <w:tab w:val="clear" w:pos="1134"/>
          <w:tab w:val="left" w:pos="1956" w:leader="none"/>
        </w:tabs>
        <w:bidi w:val="0"/>
        <w:ind w:hanging="283" w:left="1956"/>
        <w:jc w:val="left"/>
        <w:rPr/>
      </w:pPr>
      <w:r>
        <w:rPr/>
        <w:t xml:space="preserve">Back up the database and uploads before every update deployment. </w:t>
      </w:r>
    </w:p>
    <w:p>
      <w:pPr>
        <w:pStyle w:val="Heading2"/>
        <w:bidi w:val="0"/>
        <w:jc w:val="left"/>
        <w:rPr/>
      </w:pPr>
      <w:r>
        <w:rPr/>
        <w:t>13. Troubleshooting Entry Points</w:t>
      </w:r>
    </w:p>
    <w:tbl>
      <w:tblPr>
        <w:tblW w:w="8229" w:type="dxa"/>
        <w:jc w:val="left"/>
        <w:tblInd w:w="0" w:type="dxa"/>
        <w:tblLayout w:type="fixed"/>
        <w:tblCellMar>
          <w:top w:w="28" w:type="dxa"/>
          <w:left w:w="28" w:type="dxa"/>
          <w:bottom w:w="28" w:type="dxa"/>
          <w:right w:w="28" w:type="dxa"/>
        </w:tblCellMar>
      </w:tblPr>
      <w:tblGrid>
        <w:gridCol w:w="2912"/>
        <w:gridCol w:w="5317"/>
      </w:tblGrid>
      <w:tr>
        <w:trPr>
          <w:tblHeader w:val="true"/>
        </w:trPr>
        <w:tc>
          <w:tcPr>
            <w:tcW w:w="2912" w:type="dxa"/>
            <w:tcBorders/>
            <w:vAlign w:val="center"/>
          </w:tcPr>
          <w:p>
            <w:pPr>
              <w:pStyle w:val="TableHeading"/>
              <w:suppressLineNumbers/>
              <w:bidi w:val="0"/>
              <w:spacing w:before="0" w:after="283"/>
              <w:jc w:val="center"/>
              <w:rPr/>
            </w:pPr>
            <w:r>
              <w:rPr/>
              <w:t>Symptom</w:t>
            </w:r>
          </w:p>
        </w:tc>
        <w:tc>
          <w:tcPr>
            <w:tcW w:w="5317" w:type="dxa"/>
            <w:tcBorders/>
            <w:vAlign w:val="center"/>
          </w:tcPr>
          <w:p>
            <w:pPr>
              <w:pStyle w:val="TableHeading"/>
              <w:suppressLineNumbers/>
              <w:bidi w:val="0"/>
              <w:spacing w:before="0" w:after="283"/>
              <w:jc w:val="center"/>
              <w:rPr/>
            </w:pPr>
            <w:r>
              <w:rPr/>
              <w:t>First checks</w:t>
            </w:r>
          </w:p>
        </w:tc>
      </w:tr>
      <w:tr>
        <w:trPr/>
        <w:tc>
          <w:tcPr>
            <w:tcW w:w="2912" w:type="dxa"/>
            <w:tcBorders/>
            <w:vAlign w:val="center"/>
          </w:tcPr>
          <w:p>
            <w:pPr>
              <w:pStyle w:val="TableContents"/>
              <w:bidi w:val="0"/>
              <w:spacing w:before="0" w:after="283"/>
              <w:jc w:val="left"/>
              <w:rPr/>
            </w:pPr>
            <w:r>
              <w:rPr/>
              <w:t>Database connection failure</w:t>
            </w:r>
          </w:p>
        </w:tc>
        <w:tc>
          <w:tcPr>
            <w:tcW w:w="5317" w:type="dxa"/>
            <w:tcBorders/>
            <w:vAlign w:val="center"/>
          </w:tcPr>
          <w:p>
            <w:pPr>
              <w:pStyle w:val="TableContents"/>
              <w:bidi w:val="0"/>
              <w:spacing w:before="0" w:after="283"/>
              <w:jc w:val="left"/>
              <w:rPr/>
            </w:pPr>
            <w:r>
              <w:rPr/>
              <w:t xml:space="preserve">Check </w:t>
            </w:r>
            <w:r>
              <w:rPr>
                <w:rStyle w:val="SourceText"/>
              </w:rPr>
              <w:t>ct2_local.php</w:t>
            </w:r>
            <w:r>
              <w:rPr/>
              <w:t>, verify host/port/user/password, confirm grants, run DB smoke</w:t>
            </w:r>
          </w:p>
        </w:tc>
      </w:tr>
      <w:tr>
        <w:trPr/>
        <w:tc>
          <w:tcPr>
            <w:tcW w:w="2912" w:type="dxa"/>
            <w:tcBorders/>
            <w:vAlign w:val="center"/>
          </w:tcPr>
          <w:p>
            <w:pPr>
              <w:pStyle w:val="TableContents"/>
              <w:bidi w:val="0"/>
              <w:spacing w:before="0" w:after="283"/>
              <w:jc w:val="left"/>
              <w:rPr/>
            </w:pPr>
            <w:r>
              <w:rPr/>
              <w:t>Login or session failure</w:t>
            </w:r>
          </w:p>
        </w:tc>
        <w:tc>
          <w:tcPr>
            <w:tcW w:w="5317" w:type="dxa"/>
            <w:tcBorders/>
            <w:vAlign w:val="center"/>
          </w:tcPr>
          <w:p>
            <w:pPr>
              <w:pStyle w:val="TableContents"/>
              <w:bidi w:val="0"/>
              <w:spacing w:before="0" w:after="283"/>
              <w:jc w:val="left"/>
              <w:rPr/>
            </w:pPr>
            <w:r>
              <w:rPr/>
              <w:t>Check writable sessions path, active-user status, and session rotation behavior</w:t>
            </w:r>
          </w:p>
        </w:tc>
      </w:tr>
      <w:tr>
        <w:trPr/>
        <w:tc>
          <w:tcPr>
            <w:tcW w:w="2912" w:type="dxa"/>
            <w:tcBorders/>
            <w:vAlign w:val="center"/>
          </w:tcPr>
          <w:p>
            <w:pPr>
              <w:pStyle w:val="TableContents"/>
              <w:bidi w:val="0"/>
              <w:spacing w:before="0" w:after="283"/>
              <w:jc w:val="left"/>
              <w:rPr/>
            </w:pPr>
            <w:r>
              <w:rPr/>
              <w:t>Upload failure</w:t>
            </w:r>
          </w:p>
        </w:tc>
        <w:tc>
          <w:tcPr>
            <w:tcW w:w="5317" w:type="dxa"/>
            <w:tcBorders/>
            <w:vAlign w:val="center"/>
          </w:tcPr>
          <w:p>
            <w:pPr>
              <w:pStyle w:val="TableContents"/>
              <w:bidi w:val="0"/>
              <w:spacing w:before="0" w:after="283"/>
              <w:jc w:val="left"/>
              <w:rPr/>
            </w:pPr>
            <w:r>
              <w:rPr/>
              <w:t>Check shared uploads path, file size limits, and visa document flow</w:t>
            </w:r>
          </w:p>
        </w:tc>
      </w:tr>
      <w:tr>
        <w:trPr/>
        <w:tc>
          <w:tcPr>
            <w:tcW w:w="2912" w:type="dxa"/>
            <w:tcBorders/>
            <w:vAlign w:val="center"/>
          </w:tcPr>
          <w:p>
            <w:pPr>
              <w:pStyle w:val="TableContents"/>
              <w:bidi w:val="0"/>
              <w:spacing w:before="0" w:after="283"/>
              <w:jc w:val="left"/>
              <w:rPr/>
            </w:pPr>
            <w:r>
              <w:rPr/>
              <w:t>API regression</w:t>
            </w:r>
          </w:p>
        </w:tc>
        <w:tc>
          <w:tcPr>
            <w:tcW w:w="5317" w:type="dxa"/>
            <w:tcBorders/>
            <w:vAlign w:val="center"/>
          </w:tcPr>
          <w:p>
            <w:pPr>
              <w:pStyle w:val="TableContents"/>
              <w:bidi w:val="0"/>
              <w:spacing w:before="0" w:after="283"/>
              <w:jc w:val="left"/>
              <w:rPr/>
            </w:pPr>
            <w:r>
              <w:rPr/>
              <w:t>Confirm JSON-only responses, auth, permission parity, and absence of warning leakage</w:t>
            </w:r>
          </w:p>
        </w:tc>
      </w:tr>
      <w:tr>
        <w:trPr/>
        <w:tc>
          <w:tcPr>
            <w:tcW w:w="2912" w:type="dxa"/>
            <w:tcBorders/>
            <w:vAlign w:val="center"/>
          </w:tcPr>
          <w:p>
            <w:pPr>
              <w:pStyle w:val="TableContents"/>
              <w:bidi w:val="0"/>
              <w:spacing w:before="0" w:after="283"/>
              <w:jc w:val="left"/>
              <w:rPr/>
            </w:pPr>
            <w:r>
              <w:rPr/>
              <w:t>Release failure</w:t>
            </w:r>
          </w:p>
        </w:tc>
        <w:tc>
          <w:tcPr>
            <w:tcW w:w="5317" w:type="dxa"/>
            <w:tcBorders/>
            <w:vAlign w:val="center"/>
          </w:tcPr>
          <w:p>
            <w:pPr>
              <w:pStyle w:val="TableContents"/>
              <w:bidi w:val="0"/>
              <w:spacing w:before="0" w:after="283"/>
              <w:jc w:val="left"/>
              <w:rPr/>
            </w:pPr>
            <w:r>
              <w:rPr/>
              <w:t>Inspect strict-suite logs, packaging step, SSH auth, shared config linkage, and live HTTP health check</w:t>
            </w:r>
          </w:p>
        </w:tc>
      </w:tr>
    </w:tbl>
    <w:p>
      <w:pPr>
        <w:pStyle w:val="Heading2"/>
        <w:bidi w:val="0"/>
        <w:jc w:val="left"/>
        <w:rPr/>
      </w:pPr>
      <w:r>
        <w:rPr/>
        <w:t>14. Current Constraints And Open Operational Notes</w:t>
      </w:r>
    </w:p>
    <w:p>
      <w:pPr>
        <w:pStyle w:val="BodyText"/>
        <w:numPr>
          <w:ilvl w:val="0"/>
          <w:numId w:val="13"/>
        </w:numPr>
        <w:tabs>
          <w:tab w:val="clear" w:pos="1134"/>
          <w:tab w:val="left" w:pos="1956" w:leader="none"/>
        </w:tabs>
        <w:bidi w:val="0"/>
        <w:spacing w:before="0" w:after="0"/>
        <w:ind w:hanging="283" w:left="1956"/>
        <w:jc w:val="left"/>
        <w:rPr/>
      </w:pPr>
      <w:r>
        <w:rPr/>
        <w:t xml:space="preserve">Windows XAMPP evidence remains a documented follow-up item even though the primary cPanel release path is active. </w:t>
      </w:r>
    </w:p>
    <w:p>
      <w:pPr>
        <w:pStyle w:val="BodyText"/>
        <w:numPr>
          <w:ilvl w:val="0"/>
          <w:numId w:val="13"/>
        </w:numPr>
        <w:tabs>
          <w:tab w:val="clear" w:pos="1134"/>
          <w:tab w:val="left" w:pos="1956" w:leader="none"/>
        </w:tabs>
        <w:bidi w:val="0"/>
        <w:spacing w:before="0" w:after="0"/>
        <w:ind w:hanging="283" w:left="1956"/>
        <w:jc w:val="left"/>
        <w:rPr/>
      </w:pPr>
      <w:r>
        <w:rPr/>
        <w:t xml:space="preserve">Seeded accounts and demo data are for validation and UAT only and must not remain as production credentials. </w:t>
      </w:r>
    </w:p>
    <w:p>
      <w:pPr>
        <w:pStyle w:val="BodyText"/>
        <w:numPr>
          <w:ilvl w:val="0"/>
          <w:numId w:val="13"/>
        </w:numPr>
        <w:tabs>
          <w:tab w:val="clear" w:pos="1134"/>
          <w:tab w:val="left" w:pos="1956" w:leader="none"/>
        </w:tabs>
        <w:bidi w:val="0"/>
        <w:spacing w:before="0" w:after="0"/>
        <w:ind w:hanging="283" w:left="1956"/>
        <w:jc w:val="left"/>
        <w:rPr/>
      </w:pPr>
      <w:r>
        <w:rPr/>
        <w:t xml:space="preserve">Any change that touches auth, API contracts, deployment scripts, or the shared UI shell should be assumed to require the full strict suite. </w:t>
      </w:r>
    </w:p>
    <w:p>
      <w:pPr>
        <w:pStyle w:val="BodyText"/>
        <w:numPr>
          <w:ilvl w:val="0"/>
          <w:numId w:val="13"/>
        </w:numPr>
        <w:tabs>
          <w:tab w:val="clear" w:pos="1134"/>
          <w:tab w:val="left" w:pos="1956" w:leader="none"/>
        </w:tabs>
        <w:bidi w:val="0"/>
        <w:ind w:hanging="283" w:left="1956"/>
        <w:jc w:val="left"/>
        <w:rPr/>
      </w:pPr>
      <w:r>
        <w:rPr/>
        <w:t xml:space="preserve">cPanel deployment is artifact-based. Direct server-side branch pulls are outside the supported release contract. </w:t>
      </w:r>
    </w:p>
    <w:p>
      <w:pPr>
        <w:pStyle w:val="Heading2"/>
        <w:bidi w:val="0"/>
        <w:jc w:val="left"/>
        <w:rPr/>
      </w:pPr>
      <w:r>
        <w:rPr/>
        <w:t>15. Reference Documents</w:t>
      </w:r>
    </w:p>
    <w:p>
      <w:pPr>
        <w:pStyle w:val="BodyText"/>
        <w:numPr>
          <w:ilvl w:val="0"/>
          <w:numId w:val="14"/>
        </w:numPr>
        <w:tabs>
          <w:tab w:val="clear" w:pos="1134"/>
          <w:tab w:val="left" w:pos="1956" w:leader="none"/>
        </w:tabs>
        <w:bidi w:val="0"/>
        <w:spacing w:before="0" w:after="0"/>
        <w:ind w:hanging="283" w:left="1956"/>
        <w:jc w:val="left"/>
        <w:rPr/>
      </w:pPr>
      <w:r>
        <w:rPr>
          <w:rStyle w:val="SourceText"/>
        </w:rPr>
        <w:t>docs/ct2_integration_guide.md</w:t>
      </w:r>
      <w:r>
        <w:rPr/>
        <w:t xml:space="preserve"> </w:t>
      </w:r>
    </w:p>
    <w:p>
      <w:pPr>
        <w:pStyle w:val="BodyText"/>
        <w:numPr>
          <w:ilvl w:val="0"/>
          <w:numId w:val="14"/>
        </w:numPr>
        <w:tabs>
          <w:tab w:val="clear" w:pos="1134"/>
          <w:tab w:val="left" w:pos="1956" w:leader="none"/>
        </w:tabs>
        <w:bidi w:val="0"/>
        <w:spacing w:before="0" w:after="0"/>
        <w:ind w:hanging="283" w:left="1956"/>
        <w:jc w:val="left"/>
        <w:rPr/>
      </w:pPr>
      <w:r>
        <w:rPr>
          <w:rStyle w:val="SourceText"/>
        </w:rPr>
        <w:t>docs/ct2_deployment_guide.md</w:t>
      </w:r>
      <w:r>
        <w:rPr/>
        <w:t xml:space="preserve"> </w:t>
      </w:r>
    </w:p>
    <w:p>
      <w:pPr>
        <w:pStyle w:val="BodyText"/>
        <w:numPr>
          <w:ilvl w:val="0"/>
          <w:numId w:val="14"/>
        </w:numPr>
        <w:tabs>
          <w:tab w:val="clear" w:pos="1134"/>
          <w:tab w:val="left" w:pos="1956" w:leader="none"/>
        </w:tabs>
        <w:bidi w:val="0"/>
        <w:spacing w:before="0" w:after="0"/>
        <w:ind w:hanging="283" w:left="1956"/>
        <w:jc w:val="left"/>
        <w:rPr/>
      </w:pPr>
      <w:r>
        <w:rPr>
          <w:rStyle w:val="SourceText"/>
        </w:rPr>
        <w:t>docs/ct2_operator_runbook.md</w:t>
      </w:r>
      <w:r>
        <w:rPr/>
        <w:t xml:space="preserve"> </w:t>
      </w:r>
    </w:p>
    <w:p>
      <w:pPr>
        <w:pStyle w:val="BodyText"/>
        <w:numPr>
          <w:ilvl w:val="0"/>
          <w:numId w:val="14"/>
        </w:numPr>
        <w:tabs>
          <w:tab w:val="clear" w:pos="1134"/>
          <w:tab w:val="left" w:pos="1956" w:leader="none"/>
        </w:tabs>
        <w:bidi w:val="0"/>
        <w:spacing w:before="0" w:after="0"/>
        <w:ind w:hanging="283" w:left="1956"/>
        <w:jc w:val="left"/>
        <w:rPr/>
      </w:pPr>
      <w:r>
        <w:rPr>
          <w:rStyle w:val="SourceText"/>
        </w:rPr>
        <w:t>docs/ct2_quality_gate.md</w:t>
      </w:r>
      <w:r>
        <w:rPr/>
        <w:t xml:space="preserve"> </w:t>
      </w:r>
    </w:p>
    <w:p>
      <w:pPr>
        <w:pStyle w:val="BodyText"/>
        <w:numPr>
          <w:ilvl w:val="0"/>
          <w:numId w:val="14"/>
        </w:numPr>
        <w:tabs>
          <w:tab w:val="clear" w:pos="1134"/>
          <w:tab w:val="left" w:pos="1956" w:leader="none"/>
        </w:tabs>
        <w:bidi w:val="0"/>
        <w:spacing w:before="0" w:after="0"/>
        <w:ind w:hanging="283" w:left="1956"/>
        <w:jc w:val="left"/>
        <w:rPr/>
      </w:pPr>
      <w:r>
        <w:rPr>
          <w:rStyle w:val="SourceText"/>
        </w:rPr>
        <w:t>docs/ct2_cpanel_release_flow.md</w:t>
      </w:r>
      <w:r>
        <w:rPr/>
        <w:t xml:space="preserve"> </w:t>
      </w:r>
    </w:p>
    <w:p>
      <w:pPr>
        <w:pStyle w:val="BodyText"/>
        <w:numPr>
          <w:ilvl w:val="0"/>
          <w:numId w:val="14"/>
        </w:numPr>
        <w:tabs>
          <w:tab w:val="clear" w:pos="1134"/>
          <w:tab w:val="left" w:pos="1956" w:leader="none"/>
        </w:tabs>
        <w:bidi w:val="0"/>
        <w:spacing w:before="0" w:after="283"/>
        <w:ind w:hanging="283" w:left="1956"/>
        <w:jc w:val="left"/>
        <w:rPr/>
      </w:pPr>
      <w:r>
        <w:rPr>
          <w:rStyle w:val="SourceText"/>
        </w:rPr>
        <w:t>docs/ct2_manual_qa_pack.md</w:t>
      </w:r>
      <w:r>
        <w:rPr/>
        <w:t xml:space="preserve">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Noto Sans">
    <w:charset w:val="01"/>
    <w:family w:val="auto"/>
    <w:pitch w:val="variable"/>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247" w:after="1247"/>
      <w:ind w:left="1247" w:right="1247"/>
    </w:pPr>
    <w:rPr>
      <w:rFonts w:ascii="Liberation Sans;Arial;sans-serif" w:hAnsi="Liberation Sans;Arial;sans-serif" w:eastAsia="Liberation Sans;Arial;sans-serif" w:cs="Liberation Sans;Arial;sans-serif"/>
      <w:color w:val="1F2933"/>
      <w:sz w:val="24"/>
      <w:szCs w:val="24"/>
      <w:lang w:val="en-US" w:eastAsia="zh-CN" w:bidi="hi-IN"/>
    </w:rPr>
  </w:style>
  <w:style w:type="paragraph" w:styleId="Heading1">
    <w:name w:val="Heading 1"/>
    <w:basedOn w:val="Heading"/>
    <w:next w:val="BodyText"/>
    <w:qFormat/>
    <w:pPr>
      <w:keepNext w:val="true"/>
      <w:spacing w:before="240" w:after="113"/>
    </w:pPr>
    <w:rPr>
      <w:rFonts w:ascii="Noto Sans" w:hAnsi="Noto Sans"/>
      <w:b/>
      <w:bCs/>
      <w:color w:val="102A43"/>
      <w:sz w:val="48"/>
      <w:szCs w:val="48"/>
    </w:rPr>
  </w:style>
  <w:style w:type="paragraph" w:styleId="Heading2">
    <w:name w:val="Heading 2"/>
    <w:basedOn w:val="Heading"/>
    <w:next w:val="BodyText"/>
    <w:qFormat/>
    <w:pPr>
      <w:keepNext w:val="true"/>
      <w:pBdr>
        <w:bottom w:val="single" w:sz="2" w:space="3" w:color="BCCCDC"/>
      </w:pBdr>
      <w:spacing w:before="454" w:after="120"/>
      <w:outlineLvl w:val="1"/>
    </w:pPr>
    <w:rPr>
      <w:rFonts w:ascii="Liberation Serif" w:hAnsi="Liberation Serif" w:eastAsia="Noto Serif CJK SC" w:cs="Noto Sans Devanagari"/>
      <w:b/>
      <w:bCs/>
      <w:color w:val="102A43"/>
      <w:sz w:val="32"/>
      <w:szCs w:val="32"/>
    </w:rPr>
  </w:style>
  <w:style w:type="paragraph" w:styleId="Heading3">
    <w:name w:val="Heading 3"/>
    <w:basedOn w:val="Heading"/>
    <w:next w:val="BodyText"/>
    <w:qFormat/>
    <w:pPr>
      <w:keepNext w:val="true"/>
      <w:spacing w:before="312" w:after="120"/>
      <w:outlineLvl w:val="2"/>
    </w:pPr>
    <w:rPr>
      <w:rFonts w:ascii="Liberation Serif" w:hAnsi="Liberation Serif" w:eastAsia="Noto Serif CJK SC" w:cs="Noto Sans Devanagari"/>
      <w:b/>
      <w:bCs/>
      <w:color w:val="102A43"/>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Courier New;monospace" w:hAnsi="Liberation Mono;Courier New;monospace" w:eastAsia="Liberation Mono;Courier New;monospace" w:cs="Liberation Mono;Courier New;monospace"/>
      <w:sz w:val="19"/>
      <w:szCs w:val="19"/>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065" w:leader="none"/>
        <w:tab w:val="right" w:pos="10884" w:leader="none"/>
      </w:tabs>
    </w:pPr>
    <w:rPr/>
  </w:style>
  <w:style w:type="paragraph" w:styleId="Header">
    <w:name w:val="Header"/>
    <w:basedOn w:val="Normal"/>
    <w:pPr>
      <w:suppressLineNumbers/>
      <w:tabs>
        <w:tab w:val="clear" w:pos="1134"/>
        <w:tab w:val="center" w:pos="6065" w:leader="none"/>
        <w:tab w:val="right" w:pos="10884" w:leader="none"/>
      </w:tabs>
    </w:pPr>
    <w:rPr/>
  </w:style>
  <w:style w:type="paragraph" w:styleId="HeaderandFooter">
    <w:name w:val="Header and Footer"/>
    <w:basedOn w:val="Normal"/>
    <w:qFormat/>
    <w:pPr>
      <w:suppressLineNumbers/>
      <w:tabs>
        <w:tab w:val="clear" w:pos="1134"/>
        <w:tab w:val="center" w:pos="6066" w:leader="none"/>
        <w:tab w:val="right" w:pos="10885"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z w:val="21"/>
      <w:szCs w:val="21"/>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spacing w:before="0" w:after="454"/>
    </w:pPr>
    <w:rPr>
      <w:color w:val="486581"/>
      <w:sz w:val="22"/>
      <w:szCs w:val="22"/>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CT2 System Workflow And Process Guide</dc:title>
</cp:coreProperties>
</file>

<file path=docProps/custom.xml><?xml version="1.0" encoding="utf-8"?>
<Properties xmlns="http://schemas.openxmlformats.org/officeDocument/2006/custom-properties" xmlns:vt="http://schemas.openxmlformats.org/officeDocument/2006/docPropsVTypes"/>
</file>