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DED8BC6" w:rsidR="007B7C14" w:rsidRDefault="0011397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13975">
        <w:rPr>
          <w:rFonts w:ascii="Times New Roman" w:hAnsi="Times New Roman" w:cs="Times New Roman"/>
          <w:sz w:val="24"/>
        </w:rPr>
        <w:t>Smart City Security –</w:t>
      </w:r>
      <w:r w:rsidR="00261E0B">
        <w:rPr>
          <w:rFonts w:ascii="Times New Roman" w:hAnsi="Times New Roman" w:cs="Times New Roman"/>
          <w:sz w:val="24"/>
        </w:rPr>
        <w:t xml:space="preserve"> </w:t>
      </w:r>
      <w:r w:rsidRPr="00113975">
        <w:rPr>
          <w:rFonts w:ascii="Times New Roman" w:hAnsi="Times New Roman" w:cs="Times New Roman"/>
          <w:sz w:val="24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 point:</w:t>
      </w:r>
      <w:r w:rsidR="00F25CA5">
        <w:rPr>
          <w:rFonts w:ascii="Times New Roman" w:hAnsi="Times New Roman" w:cs="Times New Roman"/>
          <w:b/>
          <w:sz w:val="24"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DD516A" w14:textId="1604DF77" w:rsidR="007501DB" w:rsidRDefault="007501DB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 on Smart Grid Security</w:t>
      </w:r>
    </w:p>
    <w:p w14:paraId="318B81B8" w14:textId="28926945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</w:t>
      </w:r>
      <w:r w:rsidR="008D6938">
        <w:rPr>
          <w:rFonts w:ascii="Times New Roman" w:hAnsi="Times New Roman" w:cs="Times New Roman"/>
          <w:sz w:val="24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 includes </w:t>
      </w:r>
      <w:r w:rsidR="0046704B">
        <w:rPr>
          <w:rFonts w:ascii="Times New Roman" w:hAnsi="Times New Roman" w:cs="Times New Roman"/>
          <w:sz w:val="24"/>
        </w:rPr>
        <w:t xml:space="preserve">protection </w:t>
      </w:r>
      <w:r w:rsidR="00BC488B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state estimation or </w:t>
      </w:r>
      <w:r w:rsidR="00BC488B">
        <w:rPr>
          <w:rFonts w:ascii="Times New Roman" w:hAnsi="Times New Roman" w:cs="Times New Roman"/>
          <w:sz w:val="24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</w:t>
      </w:r>
      <w:r w:rsidR="00E14AA5">
        <w:rPr>
          <w:rFonts w:ascii="Times New Roman" w:hAnsi="Times New Roman" w:cs="Times New Roman"/>
          <w:sz w:val="24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r w:rsidR="0064509D"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proofErr w:type="spellStart"/>
      <w:r>
        <w:rPr>
          <w:rFonts w:ascii="Times New Roman" w:hAnsi="Times New Roman" w:cs="Times New Roman"/>
          <w:sz w:val="24"/>
        </w:rPr>
        <w:t>Deterfox</w:t>
      </w:r>
      <w:proofErr w:type="spellEnd"/>
      <w:r>
        <w:rPr>
          <w:rFonts w:ascii="Times New Roman" w:hAnsi="Times New Roman" w:cs="Times New Roman"/>
          <w:sz w:val="24"/>
        </w:rPr>
        <w:t xml:space="preserve">, setup necessary Windows applications to emulate IEC standard and one machine, </w:t>
      </w:r>
      <w:proofErr w:type="gramStart"/>
      <w:r w:rsidR="00034E1F">
        <w:rPr>
          <w:rFonts w:ascii="Times New Roman" w:hAnsi="Times New Roman" w:cs="Times New Roman"/>
          <w:sz w:val="24"/>
        </w:rPr>
        <w:t>See</w:t>
      </w:r>
      <w:proofErr w:type="gramEnd"/>
      <w:r w:rsidR="00034E1F">
        <w:rPr>
          <w:rFonts w:ascii="Times New Roman" w:hAnsi="Times New Roman" w:cs="Times New Roman"/>
          <w:sz w:val="24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3878631D" w14:textId="7053A51C" w:rsidR="00ED1DD3" w:rsidRPr="0046303D" w:rsidRDefault="008174E3" w:rsidP="0046303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something </w:t>
      </w:r>
      <w:proofErr w:type="spellStart"/>
      <w:r>
        <w:rPr>
          <w:rFonts w:ascii="Times New Roman" w:hAnsi="Times New Roman" w:cs="Times New Roman"/>
          <w:sz w:val="24"/>
        </w:rPr>
        <w:t>lel</w:t>
      </w:r>
      <w:proofErr w:type="spellEnd"/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 xml:space="preserve">targeted </w:t>
      </w:r>
      <w:r w:rsidR="00013C9E">
        <w:rPr>
          <w:rFonts w:ascii="Times New Roman" w:hAnsi="Times New Roman" w:cs="Times New Roman"/>
          <w:sz w:val="24"/>
        </w:rPr>
        <w:lastRenderedPageBreak/>
        <w:t>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4B487453" w:rsid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36C45" w14:textId="597D5DEB" w:rsidR="0028687A" w:rsidRDefault="0028687A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8EBD2" w14:textId="54CB9CE6" w:rsidR="0028687A" w:rsidRDefault="0028687A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EF395" w14:textId="77777777" w:rsidR="0028687A" w:rsidRPr="009578A4" w:rsidRDefault="0028687A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B7AD2D" w14:textId="67A665BA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998455" w14:textId="1D76A312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5ABC7B" w14:textId="12FDBDD0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B67833F" w14:textId="3D22C195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6945B8" w14:textId="56A4A6D1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A08D40" w14:textId="7B57843F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96756" w14:textId="377E3139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332F85" w14:textId="69B2FD05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2A1A4D3" w14:textId="5E3CFDBB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DEC8EC" w14:textId="51CEE55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41321F" w14:textId="252C77E0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6B2C9" w14:textId="2695B751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8A66049" w14:textId="01C8C3C3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0AD141" w14:textId="500A740B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12BB23" w14:textId="35A21232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5A0D1E5" w14:textId="25A10DD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DBDC29" w14:textId="77777777" w:rsidR="0045204F" w:rsidRDefault="0045204F" w:rsidP="004520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2A99D7B4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integrity; Integrity violation</w:t>
      </w:r>
    </w:p>
    <w:p w14:paraId="6AF4E0D1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4F619641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 includes protection of state estimation or raw meter data</w:t>
      </w:r>
    </w:p>
    <w:p w14:paraId="6DCE1DD8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75BC655" w14:textId="77777777" w:rsidR="0045204F" w:rsidRPr="00BB51DE" w:rsidRDefault="0045204F" w:rsidP="004520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 attack</w:t>
      </w:r>
    </w:p>
    <w:p w14:paraId="36D45CDB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Target Critical Time Delay &lt;3msec</w:t>
      </w:r>
    </w:p>
    <w:p w14:paraId="0BFB1D52" w14:textId="77777777" w:rsidR="0045204F" w:rsidRPr="002A7D08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3BA08B83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1914E753" w14:textId="77777777" w:rsidR="0045204F" w:rsidRDefault="0045204F" w:rsidP="004520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</w:p>
    <w:p w14:paraId="51FB209C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Vehicles/Terminals</w:t>
      </w:r>
    </w:p>
    <w:p w14:paraId="2A1EE920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>, present current research on topic</w:t>
      </w:r>
    </w:p>
    <w:p w14:paraId="7EE22C0A" w14:textId="77777777" w:rsidR="0045204F" w:rsidRDefault="0045204F" w:rsidP="0045204F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2E9CCE2B" w14:textId="509E1206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26582E" w14:textId="6911BB0B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8418922" w14:textId="3536CC06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23DC086" w14:textId="660F8CF3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9F2FEC" w14:textId="5EFE754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E6316E" w14:textId="340346D7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C185EF" w14:textId="273C2E3E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C6C349" w14:textId="463E9B4A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D84291" w14:textId="057EA8F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24E1F9" w14:textId="0CFDE9EC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03BBC2" w14:textId="1E46BDB9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AE9172F" w14:textId="7B2B29A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EA0C17" w14:textId="4ADEA426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4C1ED1" w14:textId="35473009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0AA9A2" w14:textId="3F1A4F9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6C4658" w14:textId="27D38CCA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CCEDBB" w14:textId="45C922A8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436D75" w14:textId="45CB06F5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D6BC99" w14:textId="010DFA06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3D73C0" w14:textId="208E4FBD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95D37A" w14:textId="24DEA7EE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CDD24ED" w14:textId="1ADE508F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C53F79" w14:textId="7320EC05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0B62EB" w14:textId="3CDEA8D0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FF0C6D" w14:textId="078C9BC6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807CDC" w14:textId="77777777" w:rsidR="001067C3" w:rsidRDefault="001067C3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687BEB94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097763" w14:textId="0735FD04" w:rsidR="00B16DFA" w:rsidRDefault="00B16DF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D38333B" w14:textId="301241CA" w:rsidR="00B16DFA" w:rsidRDefault="00B16DF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772B6AD" w14:textId="16D6F1F4" w:rsidR="00B16DFA" w:rsidRDefault="00B16DF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F0CCEB8" w14:textId="396341B6" w:rsidR="00B16DFA" w:rsidRDefault="00B16DF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DCA6EE" w14:textId="77777777" w:rsidR="00B16DFA" w:rsidRDefault="00B16DF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8902B67" w14:textId="77777777" w:rsidR="00B218CA" w:rsidRPr="002477F3" w:rsidRDefault="00B218CA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Cao, Y., Chen, Z., Li, S. and Wu, S.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Deterministic Browser</w:t>
      </w:r>
      <w:r w:rsidRPr="002477F3">
        <w:rPr>
          <w:rFonts w:ascii="Times New Roman" w:hAnsi="Times New Roman" w:cs="Times New Roman"/>
          <w:b/>
          <w:sz w:val="24"/>
        </w:rPr>
        <w:t>. [online] Arxiv.org. Available at: https://arxiv.org/abs/1708.06774 [Accessed 28 Nov. 2018].</w:t>
      </w:r>
    </w:p>
    <w:p w14:paraId="5DDDDE37" w14:textId="77777777" w:rsidR="00B218CA" w:rsidRPr="002477F3" w:rsidRDefault="00B218CA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Chen, P., Yang, S., McCann J., et al.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Detection of false data injection attacks in smart-grid systems - IEEE Journals &amp; Magazine</w:t>
      </w:r>
      <w:r w:rsidRPr="002477F3">
        <w:rPr>
          <w:rFonts w:ascii="Times New Roman" w:hAnsi="Times New Roman" w:cs="Times New Roman"/>
          <w:b/>
          <w:sz w:val="24"/>
        </w:rPr>
        <w:t xml:space="preserve">. </w:t>
      </w:r>
    </w:p>
    <w:p w14:paraId="23A2CEFB" w14:textId="77777777" w:rsidR="00B218CA" w:rsidRPr="000C3567" w:rsidRDefault="00B218CA" w:rsidP="000C356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B467F7">
        <w:rPr>
          <w:rFonts w:ascii="Times New Roman" w:hAnsi="Times New Roman" w:cs="Times New Roman"/>
          <w:b/>
          <w:sz w:val="24"/>
        </w:rPr>
        <w:t xml:space="preserve">El </w:t>
      </w:r>
      <w:proofErr w:type="spellStart"/>
      <w:r w:rsidRPr="00B467F7">
        <w:rPr>
          <w:rFonts w:ascii="Times New Roman" w:hAnsi="Times New Roman" w:cs="Times New Roman"/>
          <w:b/>
          <w:sz w:val="24"/>
        </w:rPr>
        <w:t>Mrabet</w:t>
      </w:r>
      <w:proofErr w:type="spellEnd"/>
      <w:r w:rsidRPr="00B467F7">
        <w:rPr>
          <w:rFonts w:ascii="Times New Roman" w:hAnsi="Times New Roman" w:cs="Times New Roman"/>
          <w:b/>
          <w:sz w:val="24"/>
        </w:rPr>
        <w:t xml:space="preserve">, Z., </w:t>
      </w:r>
      <w:proofErr w:type="spellStart"/>
      <w:r w:rsidRPr="00B467F7">
        <w:rPr>
          <w:rFonts w:ascii="Times New Roman" w:hAnsi="Times New Roman" w:cs="Times New Roman"/>
          <w:b/>
          <w:sz w:val="24"/>
        </w:rPr>
        <w:t>Kaabouch</w:t>
      </w:r>
      <w:proofErr w:type="spellEnd"/>
      <w:r w:rsidRPr="00B467F7">
        <w:rPr>
          <w:rFonts w:ascii="Times New Roman" w:hAnsi="Times New Roman" w:cs="Times New Roman"/>
          <w:b/>
          <w:sz w:val="24"/>
        </w:rPr>
        <w:t xml:space="preserve">, N., El Ghazi, H., &amp; El Ghazi, H. (2018). </w:t>
      </w:r>
      <w:r w:rsidRPr="000C3567">
        <w:rPr>
          <w:rFonts w:ascii="Times New Roman" w:hAnsi="Times New Roman" w:cs="Times New Roman"/>
          <w:b/>
          <w:i/>
          <w:sz w:val="24"/>
        </w:rPr>
        <w:t xml:space="preserve">Cyber-security in smart grid: Survey and challenges. </w:t>
      </w:r>
      <w:r w:rsidRPr="00B467F7">
        <w:rPr>
          <w:rFonts w:ascii="Times New Roman" w:hAnsi="Times New Roman" w:cs="Times New Roman"/>
          <w:sz w:val="24"/>
        </w:rPr>
        <w:t>Computers &amp; Electrical Engineering</w:t>
      </w:r>
      <w:r w:rsidRPr="00B467F7">
        <w:rPr>
          <w:rFonts w:ascii="Times New Roman" w:hAnsi="Times New Roman" w:cs="Times New Roman"/>
          <w:i/>
          <w:sz w:val="24"/>
        </w:rPr>
        <w:t>,</w:t>
      </w:r>
      <w:r w:rsidRPr="00B467F7">
        <w:rPr>
          <w:rFonts w:ascii="Times New Roman" w:hAnsi="Times New Roman" w:cs="Times New Roman"/>
          <w:sz w:val="24"/>
        </w:rPr>
        <w:t xml:space="preserve"> 67, 469-482.</w:t>
      </w:r>
    </w:p>
    <w:p w14:paraId="37EB3559" w14:textId="77777777" w:rsidR="00B218CA" w:rsidRDefault="00B218CA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Liu, Y., Reiter, M. and Ning, P.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False data injection attacks against state estimation in electric power grids</w:t>
      </w:r>
      <w:r w:rsidRPr="002477F3">
        <w:rPr>
          <w:rFonts w:ascii="Times New Roman" w:hAnsi="Times New Roman" w:cs="Times New Roman"/>
          <w:b/>
          <w:sz w:val="24"/>
        </w:rPr>
        <w:t>.</w:t>
      </w:r>
    </w:p>
    <w:p w14:paraId="556A59B8" w14:textId="77777777" w:rsidR="00B218CA" w:rsidRPr="000C3567" w:rsidRDefault="00B218CA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Wang, W. and </w:t>
      </w:r>
      <w:proofErr w:type="spellStart"/>
      <w:r>
        <w:rPr>
          <w:rFonts w:ascii="Times New Roman" w:hAnsi="Times New Roman" w:cs="Times New Roman"/>
          <w:b/>
          <w:sz w:val="24"/>
        </w:rPr>
        <w:t>Zhuo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L. (2018). </w:t>
      </w:r>
      <w:r w:rsidRPr="00522FF4">
        <w:rPr>
          <w:rFonts w:ascii="Times New Roman" w:hAnsi="Times New Roman" w:cs="Times New Roman"/>
          <w:b/>
          <w:i/>
          <w:sz w:val="24"/>
        </w:rPr>
        <w:t>Cyber Security in the Smart Grid: Survey and Challenges</w:t>
      </w:r>
      <w:r>
        <w:rPr>
          <w:rFonts w:ascii="Times New Roman" w:hAnsi="Times New Roman" w:cs="Times New Roman"/>
          <w:b/>
          <w:i/>
          <w:sz w:val="24"/>
        </w:rPr>
        <w:t xml:space="preserve">. </w:t>
      </w:r>
      <w:r w:rsidRPr="004C16FF">
        <w:rPr>
          <w:rFonts w:ascii="Times New Roman" w:hAnsi="Times New Roman" w:cs="Times New Roman"/>
          <w:i/>
          <w:sz w:val="24"/>
        </w:rPr>
        <w:t>Computer Networks: The International Journal of Computer and Telecommunications Networking</w:t>
      </w:r>
      <w:r>
        <w:rPr>
          <w:rFonts w:ascii="Times New Roman" w:hAnsi="Times New Roman" w:cs="Times New Roman"/>
          <w:i/>
          <w:sz w:val="24"/>
        </w:rPr>
        <w:t xml:space="preserve">. </w:t>
      </w:r>
      <w:r w:rsidRPr="004C16FF">
        <w:rPr>
          <w:rFonts w:ascii="Times New Roman" w:hAnsi="Times New Roman" w:cs="Times New Roman"/>
          <w:sz w:val="24"/>
        </w:rPr>
        <w:t xml:space="preserve">Volume 57 Issue 5, </w:t>
      </w:r>
      <w:proofErr w:type="gramStart"/>
      <w:r w:rsidRPr="004C16FF">
        <w:rPr>
          <w:rFonts w:ascii="Times New Roman" w:hAnsi="Times New Roman" w:cs="Times New Roman"/>
          <w:sz w:val="24"/>
        </w:rPr>
        <w:t>April,</w:t>
      </w:r>
      <w:proofErr w:type="gramEnd"/>
      <w:r w:rsidRPr="004C16FF">
        <w:rPr>
          <w:rFonts w:ascii="Times New Roman" w:hAnsi="Times New Roman" w:cs="Times New Roman"/>
          <w:sz w:val="24"/>
        </w:rPr>
        <w:t xml:space="preserve"> 2013</w:t>
      </w:r>
      <w:r>
        <w:rPr>
          <w:rFonts w:ascii="Times New Roman" w:hAnsi="Times New Roman" w:cs="Times New Roman"/>
          <w:sz w:val="24"/>
        </w:rPr>
        <w:t xml:space="preserve">. </w:t>
      </w:r>
      <w:r w:rsidRPr="00391AA5">
        <w:rPr>
          <w:rFonts w:ascii="Times New Roman" w:hAnsi="Times New Roman" w:cs="Times New Roman"/>
          <w:sz w:val="24"/>
        </w:rPr>
        <w:t>Pages 1344-1371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1CF89" w14:textId="77777777" w:rsidR="0099505B" w:rsidRDefault="0099505B" w:rsidP="00A82333">
      <w:pPr>
        <w:spacing w:after="0" w:line="240" w:lineRule="auto"/>
      </w:pPr>
      <w:r>
        <w:separator/>
      </w:r>
    </w:p>
  </w:endnote>
  <w:endnote w:type="continuationSeparator" w:id="0">
    <w:p w14:paraId="4FF78588" w14:textId="77777777" w:rsidR="0099505B" w:rsidRDefault="0099505B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884BD" w14:textId="77777777" w:rsidR="0099505B" w:rsidRDefault="0099505B" w:rsidP="00A82333">
      <w:pPr>
        <w:spacing w:after="0" w:line="240" w:lineRule="auto"/>
      </w:pPr>
      <w:r>
        <w:separator/>
      </w:r>
    </w:p>
  </w:footnote>
  <w:footnote w:type="continuationSeparator" w:id="0">
    <w:p w14:paraId="2417D50D" w14:textId="77777777" w:rsidR="0099505B" w:rsidRDefault="0099505B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4"/>
  </w:num>
  <w:num w:numId="13">
    <w:abstractNumId w:val="0"/>
  </w:num>
  <w:num w:numId="14">
    <w:abstractNumId w:val="4"/>
  </w:num>
  <w:num w:numId="15">
    <w:abstractNumId w:val="1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34E1F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B477D"/>
    <w:rsid w:val="000C31EF"/>
    <w:rsid w:val="000C3567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67C3"/>
    <w:rsid w:val="00107DC2"/>
    <w:rsid w:val="00111BCB"/>
    <w:rsid w:val="00113975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3064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0F15"/>
    <w:rsid w:val="001B1E6E"/>
    <w:rsid w:val="001B21CA"/>
    <w:rsid w:val="001B23A5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477F3"/>
    <w:rsid w:val="00251499"/>
    <w:rsid w:val="002515F4"/>
    <w:rsid w:val="002547FA"/>
    <w:rsid w:val="00256026"/>
    <w:rsid w:val="002606E5"/>
    <w:rsid w:val="00261E0B"/>
    <w:rsid w:val="00262264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687A"/>
    <w:rsid w:val="002871BB"/>
    <w:rsid w:val="00290A85"/>
    <w:rsid w:val="00290BE3"/>
    <w:rsid w:val="00291AE2"/>
    <w:rsid w:val="002A07A2"/>
    <w:rsid w:val="002A0D2D"/>
    <w:rsid w:val="002A23F5"/>
    <w:rsid w:val="002A3DF1"/>
    <w:rsid w:val="002A7D08"/>
    <w:rsid w:val="002B074E"/>
    <w:rsid w:val="002B6B25"/>
    <w:rsid w:val="002C1090"/>
    <w:rsid w:val="002C1981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00DF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582F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6623C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1AA5"/>
    <w:rsid w:val="00392F2E"/>
    <w:rsid w:val="0039396B"/>
    <w:rsid w:val="003943EE"/>
    <w:rsid w:val="00397385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C5EAA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04F"/>
    <w:rsid w:val="00452999"/>
    <w:rsid w:val="00456E48"/>
    <w:rsid w:val="004572A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4E24"/>
    <w:rsid w:val="004B7444"/>
    <w:rsid w:val="004C16FF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2FF4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2717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E7A0A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509D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1DB"/>
    <w:rsid w:val="007505C1"/>
    <w:rsid w:val="00750C34"/>
    <w:rsid w:val="00751859"/>
    <w:rsid w:val="00751B13"/>
    <w:rsid w:val="00752F0C"/>
    <w:rsid w:val="007536BC"/>
    <w:rsid w:val="007545C4"/>
    <w:rsid w:val="007551D6"/>
    <w:rsid w:val="007556EC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B7C14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4E3"/>
    <w:rsid w:val="00817F27"/>
    <w:rsid w:val="00823025"/>
    <w:rsid w:val="0082385A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2A7D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6DE"/>
    <w:rsid w:val="008D2D9A"/>
    <w:rsid w:val="008D4BE9"/>
    <w:rsid w:val="008D64F8"/>
    <w:rsid w:val="008D693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16D9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35CB"/>
    <w:rsid w:val="0098404D"/>
    <w:rsid w:val="009843DD"/>
    <w:rsid w:val="00986065"/>
    <w:rsid w:val="00991552"/>
    <w:rsid w:val="0099249E"/>
    <w:rsid w:val="0099505B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716"/>
    <w:rsid w:val="00A55FD2"/>
    <w:rsid w:val="00A60803"/>
    <w:rsid w:val="00A65312"/>
    <w:rsid w:val="00A655B2"/>
    <w:rsid w:val="00A712C7"/>
    <w:rsid w:val="00A72779"/>
    <w:rsid w:val="00A763D1"/>
    <w:rsid w:val="00A77256"/>
    <w:rsid w:val="00A82333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39F7"/>
    <w:rsid w:val="00AD7D68"/>
    <w:rsid w:val="00AE231C"/>
    <w:rsid w:val="00AE4482"/>
    <w:rsid w:val="00AE617D"/>
    <w:rsid w:val="00B010DB"/>
    <w:rsid w:val="00B0228F"/>
    <w:rsid w:val="00B02EE2"/>
    <w:rsid w:val="00B042BF"/>
    <w:rsid w:val="00B076CB"/>
    <w:rsid w:val="00B14FED"/>
    <w:rsid w:val="00B162AB"/>
    <w:rsid w:val="00B16B08"/>
    <w:rsid w:val="00B16DFA"/>
    <w:rsid w:val="00B218CA"/>
    <w:rsid w:val="00B22BCB"/>
    <w:rsid w:val="00B308B9"/>
    <w:rsid w:val="00B3174F"/>
    <w:rsid w:val="00B41041"/>
    <w:rsid w:val="00B41044"/>
    <w:rsid w:val="00B4127B"/>
    <w:rsid w:val="00B467F7"/>
    <w:rsid w:val="00B51856"/>
    <w:rsid w:val="00B51D62"/>
    <w:rsid w:val="00B52845"/>
    <w:rsid w:val="00B52E80"/>
    <w:rsid w:val="00B5396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51DE"/>
    <w:rsid w:val="00BB62FE"/>
    <w:rsid w:val="00BC0018"/>
    <w:rsid w:val="00BC284B"/>
    <w:rsid w:val="00BC488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D72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C4778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4AA5"/>
    <w:rsid w:val="00E150DA"/>
    <w:rsid w:val="00E177ED"/>
    <w:rsid w:val="00E200B9"/>
    <w:rsid w:val="00E20B5A"/>
    <w:rsid w:val="00E22158"/>
    <w:rsid w:val="00E249FA"/>
    <w:rsid w:val="00E30183"/>
    <w:rsid w:val="00E305B9"/>
    <w:rsid w:val="00E32175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4B3A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5CA5"/>
    <w:rsid w:val="00F27288"/>
    <w:rsid w:val="00F2758E"/>
    <w:rsid w:val="00F275A0"/>
    <w:rsid w:val="00F30D0B"/>
    <w:rsid w:val="00F33131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82CC583-7DEF-4892-8D7A-17C7B4D0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949</cp:revision>
  <dcterms:created xsi:type="dcterms:W3CDTF">2018-04-17T04:16:00Z</dcterms:created>
  <dcterms:modified xsi:type="dcterms:W3CDTF">2018-12-02T23:18:00Z</dcterms:modified>
</cp:coreProperties>
</file>