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F172A"/>
          <w:sz w:val="32"/>
        </w:rPr>
        <w:t>FlowForge</w:t>
      </w:r>
      <w:r>
        <w:rPr>
          <w:rFonts w:ascii="Calibri" w:hAnsi="Calibri"/>
          <w:color w:val="94A3B8"/>
          <w:sz w:val="16"/>
        </w:rPr>
        <w:t xml:space="preserve">    Confidential  |  Seed Round  |  March 2026</w:t>
      </w:r>
    </w:p>
    <w:p>
      <w:pPr>
        <w:spacing w:before="80" w:after="80"/>
        <w:pBdr>
          <w:bottom w:val="single" w:sz="4" w:space="1" w:color="E2E8F0"/>
        </w:pBdr>
      </w:pPr>
    </w:p>
    <w:p>
      <w:pPr>
        <w:pStyle w:val="Heading1"/>
        <w:spacing w:before="160" w:after="120"/>
      </w:pPr>
      <w:r>
        <w:rPr>
          <w:rFonts w:ascii="Calibri" w:hAnsi="Calibri"/>
          <w:color w:val="0F172A"/>
        </w:rPr>
        <w:t>Ship Software Faster with AI-Powered Project Management</w:t>
      </w:r>
    </w:p>
    <w:p>
      <w:pPr>
        <w:spacing w:after="40" w:before="0"/>
      </w:pPr>
      <w:r>
        <w:rPr>
          <w:rFonts w:ascii="Calibri" w:hAnsi="Calibri"/>
          <w:b w:val="0"/>
          <w:color w:val="475569"/>
          <w:sz w:val="22"/>
        </w:rPr>
        <w:t>The first PM platform that doesn't just track work — it does the work. AI code generation, GitHub integration, and smart sprint planning in one workflow.</w:t>
      </w:r>
    </w:p>
    <w:p>
      <w:pPr>
        <w:spacing w:after="200" w:before="0"/>
      </w:pPr>
      <w:r>
        <w:rPr>
          <w:rFonts w:ascii="Calibri" w:hAnsi="Calibri"/>
          <w:b/>
          <w:color w:val="6366F1"/>
          <w:sz w:val="22"/>
        </w:rPr>
        <w:t>Raising ₹20 Cr (~$2.5M) Seed Round</w:t>
      </w:r>
    </w:p>
    <w:p>
      <w:pPr>
        <w:spacing w:after="40" w:before="240"/>
      </w:pPr>
      <w:r>
        <w:rPr>
          <w:rFonts w:ascii="Calibri" w:hAnsi="Calibri"/>
          <w:b/>
          <w:color w:val="6366F1"/>
          <w:sz w:val="16"/>
        </w:rPr>
        <w:t>THE PROBLEM</w:t>
      </w:r>
    </w:p>
    <w:p>
      <w:pPr>
        <w:pStyle w:val="Heading2"/>
        <w:spacing w:before="0" w:after="120"/>
      </w:pPr>
      <w:r>
        <w:rPr>
          <w:rFonts w:ascii="Calibri" w:hAnsi="Calibri"/>
          <w:color w:val="0F172A"/>
        </w:rPr>
        <w:t>Engineering teams lose 23% of their time to tooling overhead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EF2F2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991B1B"/>
                <w:sz w:val="18"/>
              </w:rPr>
              <w:t>Tool Fragmentation</w:t>
              <w:br/>
            </w:r>
            <w:r>
              <w:rPr>
                <w:rFonts w:ascii="Calibri" w:hAnsi="Calibri"/>
                <w:color w:val="B91C1C"/>
                <w:sz w:val="17"/>
              </w:rPr>
              <w:t>Teams juggle 5-7 tools — Jira, GitHub, Slack, CI/CD — losing hours daily to context switching.</w:t>
            </w:r>
          </w:p>
        </w:tc>
        <w:tc>
          <w:tcPr>
            <w:tcW w:type="dxa" w:w="3324"/>
            <w:shd w:fill="FEF2F2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991B1B"/>
                <w:sz w:val="18"/>
              </w:rPr>
              <w:t>Slow PR Cycles</w:t>
              <w:br/>
            </w:r>
            <w:r>
              <w:rPr>
                <w:rFonts w:ascii="Calibri" w:hAnsi="Calibri"/>
                <w:color w:val="B91C1C"/>
                <w:sz w:val="17"/>
              </w:rPr>
              <w:t>Average PR sits open 4.5 days. Code reviews bottleneck delivery. Junior devs wait days for feedback.</w:t>
            </w:r>
          </w:p>
        </w:tc>
        <w:tc>
          <w:tcPr>
            <w:tcW w:type="dxa" w:w="3324"/>
            <w:shd w:fill="FEF2F2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991B1B"/>
                <w:sz w:val="18"/>
              </w:rPr>
              <w:t>Planning Theater</w:t>
              <w:br/>
            </w:r>
            <w:r>
              <w:rPr>
                <w:rFonts w:ascii="Calibri" w:hAnsi="Calibri"/>
                <w:color w:val="B91C1C"/>
                <w:sz w:val="17"/>
              </w:rPr>
              <w:t>Sprint planning takes hours, estimates are guesswork, retrospectives produce the same action items.</w:t>
            </w:r>
          </w:p>
        </w:tc>
      </w:tr>
    </w:tbl>
    <w:p>
      <w:pPr>
        <w:spacing w:before="80" w:after="80"/>
        <w:pBdr>
          <w:bottom w:val="single" w:sz="4" w:space="1" w:color="E2E8F0"/>
        </w:pBdr>
      </w:pPr>
    </w:p>
    <w:p>
      <w:pPr>
        <w:spacing w:after="40" w:before="240"/>
      </w:pPr>
      <w:r>
        <w:rPr>
          <w:rFonts w:ascii="Calibri" w:hAnsi="Calibri"/>
          <w:b/>
          <w:color w:val="6366F1"/>
          <w:sz w:val="16"/>
        </w:rPr>
        <w:t>THE SOLUTION</w:t>
      </w:r>
    </w:p>
    <w:p>
      <w:pPr>
        <w:pStyle w:val="Heading2"/>
        <w:spacing w:before="0" w:after="80"/>
      </w:pPr>
      <w:r>
        <w:rPr>
          <w:rFonts w:ascii="Calibri" w:hAnsi="Calibri"/>
          <w:color w:val="0F172A"/>
        </w:rPr>
        <w:t>One platform that plans, codes, reviews, and ships</w:t>
      </w:r>
    </w:p>
    <w:p>
      <w:pPr>
        <w:spacing w:after="120" w:before="0"/>
      </w:pPr>
      <w:r>
        <w:rPr>
          <w:rFonts w:ascii="Calibri" w:hAnsi="Calibri"/>
          <w:b w:val="0"/>
          <w:color w:val="475569"/>
          <w:sz w:val="20"/>
        </w:rPr>
        <w:t>FlowForge replaces the fragmented toolchain with an AI-native workflow automating the entire SDLC — from task creation to merged PR.</w:t>
      </w:r>
    </w:p>
    <w:p>
      <w:pPr>
        <w:spacing w:after="160"/>
        <w:jc w:val="center"/>
      </w:pPr>
      <w:r>
        <w:rPr>
          <w:rFonts w:ascii="Calibri" w:hAnsi="Calibri"/>
          <w:b/>
          <w:color w:val="6366F1"/>
          <w:sz w:val="20"/>
        </w:rPr>
        <w:t>📝 Create Task</w:t>
      </w:r>
      <w:r>
        <w:rPr>
          <w:color w:val="C7D2FE"/>
          <w:sz w:val="22"/>
        </w:rPr>
        <w:t xml:space="preserve">  →  </w:t>
      </w:r>
      <w:r>
        <w:rPr>
          <w:rFonts w:ascii="Calibri" w:hAnsi="Calibri"/>
          <w:b/>
          <w:color w:val="6366F1"/>
          <w:sz w:val="20"/>
        </w:rPr>
        <w:t>🤖 AI Codes</w:t>
      </w:r>
      <w:r>
        <w:rPr>
          <w:color w:val="C7D2FE"/>
          <w:sz w:val="22"/>
        </w:rPr>
        <w:t xml:space="preserve">  →  </w:t>
      </w:r>
      <w:r>
        <w:rPr>
          <w:rFonts w:ascii="Calibri" w:hAnsi="Calibri"/>
          <w:b/>
          <w:color w:val="6366F1"/>
          <w:sz w:val="20"/>
        </w:rPr>
        <w:t>👀 Human Reviews</w:t>
      </w:r>
      <w:r>
        <w:rPr>
          <w:color w:val="C7D2FE"/>
          <w:sz w:val="22"/>
        </w:rPr>
        <w:t xml:space="preserve">  →  </w:t>
      </w:r>
      <w:r>
        <w:rPr>
          <w:rFonts w:ascii="Calibri" w:hAnsi="Calibri"/>
          <w:b/>
          <w:color w:val="6366F1"/>
          <w:sz w:val="20"/>
        </w:rPr>
        <w:t>💬 AI Responds</w:t>
      </w:r>
      <w:r>
        <w:rPr>
          <w:color w:val="C7D2FE"/>
          <w:sz w:val="22"/>
        </w:rPr>
        <w:t xml:space="preserve">  →  </w:t>
      </w:r>
      <w:r>
        <w:rPr>
          <w:rFonts w:ascii="Calibri" w:hAnsi="Calibri"/>
          <w:b/>
          <w:color w:val="6366F1"/>
          <w:sz w:val="20"/>
        </w:rPr>
        <w:t>🚀 Ship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8FAFC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0F172A"/>
                <w:sz w:val="18"/>
              </w:rPr>
              <w:t>AI Code Generation</w:t>
              <w:br/>
            </w:r>
            <w:r>
              <w:rPr>
                <w:rFonts w:ascii="Calibri" w:hAnsi="Calibri"/>
                <w:color w:val="475569"/>
                <w:sz w:val="17"/>
              </w:rPr>
              <w:t>Generates production-ready code from task descriptions — including tests, error handling, and PR creation. Supports OpenAI GPT-4o and Anthropic Claude.</w:t>
            </w:r>
          </w:p>
        </w:tc>
        <w:tc>
          <w:tcPr>
            <w:tcW w:type="dxa" w:w="4986"/>
            <w:shd w:fill="F8FAFC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0F172A"/>
                <w:sz w:val="18"/>
              </w:rPr>
              <w:t>Deep GitHub Integration</w:t>
              <w:br/>
            </w:r>
            <w:r>
              <w:rPr>
                <w:rFonts w:ascii="Calibri" w:hAnsi="Calibri"/>
                <w:color w:val="475569"/>
                <w:sz w:val="17"/>
              </w:rPr>
              <w:t>Auto-creates branches and PRs, processes webhooks in real-time, tracks CI/CD status, and syncs bidirectionally with repositories.</w:t>
            </w:r>
          </w:p>
        </w:tc>
      </w:tr>
      <w:tr>
        <w:tc>
          <w:tcPr>
            <w:tcW w:type="dxa" w:w="4986"/>
            <w:shd w:fill="F8FAFC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0F172A"/>
                <w:sz w:val="18"/>
              </w:rPr>
              <w:t>AI Sprint Planning</w:t>
              <w:br/>
            </w:r>
            <w:r>
              <w:rPr>
                <w:rFonts w:ascii="Calibri" w:hAnsi="Calibri"/>
                <w:color w:val="475569"/>
                <w:sz w:val="17"/>
              </w:rPr>
              <w:t>Intelligent story point estimation, risk assessment, dependency detection, and automatic retrospective generation from sprint data.</w:t>
            </w:r>
          </w:p>
        </w:tc>
        <w:tc>
          <w:tcPr>
            <w:tcW w:type="dxa" w:w="4986"/>
            <w:shd w:fill="F8FAFC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0F172A"/>
                <w:sz w:val="18"/>
              </w:rPr>
              <w:t>Smart Review Handling</w:t>
              <w:br/>
            </w:r>
            <w:r>
              <w:rPr>
                <w:rFonts w:ascii="Calibri" w:hAnsi="Calibri"/>
                <w:color w:val="475569"/>
                <w:sz w:val="17"/>
              </w:rPr>
              <w:t>AI classifies review comments as code changes vs. discussions, generates contextual responses, and updates code based on feedback.</w:t>
            </w:r>
          </w:p>
        </w:tc>
      </w:tr>
    </w:tbl>
    <w:p>
      <w:pPr>
        <w:spacing w:after="0" w:before="0"/>
      </w:pPr>
      <w:r>
        <w:rPr>
          <w:rFonts w:ascii="Calibri" w:hAnsi="Calibri"/>
          <w:b w:val="0"/>
          <w:color w:val="94A3B8"/>
          <w:sz w:val="16"/>
        </w:rPr>
        <w:br/>
        <w:t>FlowForge — Confidential                                                                                                          Page 1 of 4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0F172A"/>
          <w:sz w:val="32"/>
        </w:rPr>
        <w:t>FlowForge</w:t>
      </w:r>
      <w:r>
        <w:rPr>
          <w:rFonts w:ascii="Calibri" w:hAnsi="Calibri"/>
          <w:color w:val="94A3B8"/>
          <w:sz w:val="16"/>
        </w:rPr>
        <w:t xml:space="preserve">    Market Opportunity &amp; Competitive Landscape</w:t>
      </w:r>
    </w:p>
    <w:p>
      <w:pPr>
        <w:spacing w:before="80" w:after="80"/>
        <w:pBdr>
          <w:bottom w:val="single" w:sz="4" w:space="1" w:color="E2E8F0"/>
        </w:pBdr>
      </w:pPr>
    </w:p>
    <w:p>
      <w:pPr>
        <w:spacing w:after="40" w:before="240"/>
      </w:pPr>
      <w:r>
        <w:rPr>
          <w:rFonts w:ascii="Calibri" w:hAnsi="Calibri"/>
          <w:b/>
          <w:color w:val="6366F1"/>
          <w:sz w:val="16"/>
        </w:rPr>
        <w:t>MARKET OPPORTUNITY</w:t>
      </w:r>
    </w:p>
    <w:p>
      <w:pPr>
        <w:pStyle w:val="Heading2"/>
        <w:spacing w:before="0" w:after="120"/>
      </w:pPr>
      <w:r>
        <w:rPr>
          <w:rFonts w:ascii="Calibri" w:hAnsi="Calibri"/>
          <w:color w:val="0F172A"/>
        </w:rPr>
        <w:t>A massive global market — with India as a unique wedge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8FAFC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6366F1"/>
                <w:sz w:val="36"/>
              </w:rPr>
              <w:t>$85B</w:t>
              <w:br/>
            </w:r>
            <w:r>
              <w:rPr>
                <w:rFonts w:ascii="Calibri" w:hAnsi="Calibri"/>
                <w:color w:val="475569"/>
                <w:sz w:val="16"/>
              </w:rPr>
              <w:t>Project Mgmt</w:t>
              <w:br/>
              <w:t>TAM (Global)</w:t>
            </w:r>
          </w:p>
        </w:tc>
        <w:tc>
          <w:tcPr>
            <w:tcW w:type="dxa" w:w="2493"/>
            <w:shd w:fill="F8FAFC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6366F1"/>
                <w:sz w:val="36"/>
              </w:rPr>
              <w:t>$22B</w:t>
              <w:br/>
            </w:r>
            <w:r>
              <w:rPr>
                <w:rFonts w:ascii="Calibri" w:hAnsi="Calibri"/>
                <w:color w:val="475569"/>
                <w:sz w:val="16"/>
              </w:rPr>
              <w:t>Developer Tools</w:t>
              <w:br/>
              <w:t>SAM</w:t>
            </w:r>
          </w:p>
        </w:tc>
        <w:tc>
          <w:tcPr>
            <w:tcW w:type="dxa" w:w="2493"/>
            <w:shd w:fill="F8FAFC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6366F1"/>
                <w:sz w:val="36"/>
              </w:rPr>
              <w:t>$4.5B</w:t>
              <w:br/>
            </w:r>
            <w:r>
              <w:rPr>
                <w:rFonts w:ascii="Calibri" w:hAnsi="Calibri"/>
                <w:color w:val="475569"/>
                <w:sz w:val="16"/>
              </w:rPr>
              <w:t>AI-Powered DevTools</w:t>
              <w:br/>
              <w:t>SOM (Target)</w:t>
            </w:r>
          </w:p>
        </w:tc>
        <w:tc>
          <w:tcPr>
            <w:tcW w:type="dxa" w:w="2493"/>
            <w:shd w:fill="F8FAFC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6366F1"/>
                <w:sz w:val="36"/>
              </w:rPr>
              <w:t>28M+</w:t>
              <w:br/>
            </w:r>
            <w:r>
              <w:rPr>
                <w:rFonts w:ascii="Calibri" w:hAnsi="Calibri"/>
                <w:color w:val="475569"/>
                <w:sz w:val="16"/>
              </w:rPr>
              <w:t>Professional</w:t>
              <w:br/>
              <w:t>Developers</w:t>
            </w:r>
          </w:p>
        </w:tc>
      </w:tr>
    </w:tbl>
    <w:p>
      <w:pPr>
        <w:spacing w:before="200"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3C7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92400E"/>
                <w:sz w:val="20"/>
              </w:rPr>
              <w:t>India Advantage</w:t>
              <w:br/>
            </w:r>
            <w:r>
              <w:rPr>
                <w:rFonts w:ascii="Calibri" w:hAnsi="Calibri"/>
                <w:color w:val="B45309"/>
                <w:sz w:val="18"/>
              </w:rPr>
              <w:t>India has 5.8M+ developers (2nd largest globally) and 1,600+ GCCs employing 1.9M+ tech professionals. Indian IT services ($250B+) are under pressure to adopt AI-native tooling. FlowForge is built in India with 3-4x capital efficiency vs. US peers — the same playbook that built Freshworks ($12B), Postman ($5.6B), and Zoho into global SaaS leaders. Our target: land with India’s fast-growing startup ecosystem, then expand globally via GitHub’s developer network.</w:t>
            </w:r>
          </w:p>
        </w:tc>
      </w:tr>
    </w:tbl>
    <w:p>
      <w:pPr>
        <w:spacing w:after="40" w:before="240"/>
      </w:pPr>
      <w:r>
        <w:rPr>
          <w:rFonts w:ascii="Calibri" w:hAnsi="Calibri"/>
          <w:b/>
          <w:color w:val="6366F1"/>
          <w:sz w:val="16"/>
        </w:rPr>
        <w:t>TARGET CUSTOMERS</w:t>
      </w:r>
    </w:p>
    <w:p>
      <w:pPr>
        <w:pStyle w:val="ListBullet"/>
        <w:spacing w:after="40" w:before="0"/>
      </w:pPr>
      <w:r>
        <w:rPr>
          <w:rFonts w:ascii="Calibri" w:hAnsi="Calibri"/>
          <w:b/>
          <w:color w:val="0F172A"/>
          <w:sz w:val="20"/>
        </w:rPr>
        <w:t xml:space="preserve">Primary — Startups &amp; SMBs: </w:t>
      </w:r>
      <w:r>
        <w:rPr>
          <w:rFonts w:ascii="Calibri" w:hAnsi="Calibri"/>
          <w:color w:val="475569"/>
          <w:sz w:val="20"/>
        </w:rPr>
        <w:t>5-50 person engineering teams on GitHub (India + Global). Fast AI adopters. ACV: ₹50K-3L/yr.</w:t>
      </w:r>
    </w:p>
    <w:p>
      <w:pPr>
        <w:pStyle w:val="ListBullet"/>
        <w:spacing w:after="40" w:before="0"/>
      </w:pPr>
      <w:r>
        <w:rPr>
          <w:rFonts w:ascii="Calibri" w:hAnsi="Calibri"/>
          <w:b/>
          <w:color w:val="0F172A"/>
          <w:sz w:val="20"/>
        </w:rPr>
        <w:t xml:space="preserve">Secondary — GCCs &amp; Mid-Market: </w:t>
      </w:r>
      <w:r>
        <w:rPr>
          <w:rFonts w:ascii="Calibri" w:hAnsi="Calibri"/>
          <w:color w:val="475569"/>
          <w:sz w:val="20"/>
        </w:rPr>
        <w:t>50-500 engineers in India’s 1,600+ GCCs consolidating tools. ACV: ₹40L-1.5Cr/yr.</w:t>
      </w:r>
    </w:p>
    <w:p>
      <w:pPr>
        <w:pStyle w:val="ListBullet"/>
        <w:spacing w:after="40" w:before="0"/>
      </w:pPr>
      <w:r>
        <w:rPr>
          <w:rFonts w:ascii="Calibri" w:hAnsi="Calibri"/>
          <w:b/>
          <w:color w:val="0F172A"/>
          <w:sz w:val="20"/>
        </w:rPr>
        <w:t xml:space="preserve">Expansion — Enterprise / IT Services: </w:t>
      </w:r>
      <w:r>
        <w:rPr>
          <w:rFonts w:ascii="Calibri" w:hAnsi="Calibri"/>
          <w:color w:val="475569"/>
          <w:sz w:val="20"/>
        </w:rPr>
        <w:t>Large-scale deployments with SSO, on-prem, SLA guarantees. ACV: ₹1.5Cr+/yr.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2FF"/>
          </w:tcPr>
          <w:p>
            <w:r>
              <w:rPr>
                <w:rFonts w:ascii="Calibri" w:hAnsi="Calibri"/>
                <w:b/>
                <w:color w:val="6366F1"/>
                <w:sz w:val="18"/>
              </w:rPr>
              <w:t xml:space="preserve">Why Now? </w:t>
            </w:r>
            <w:r>
              <w:rPr>
                <w:rFonts w:ascii="Calibri" w:hAnsi="Calibri"/>
                <w:color w:val="475569"/>
                <w:sz w:val="18"/>
              </w:rPr>
              <w:t>LLMs crossed the production-code-quality threshold in 2025. AI coding tools (Copilot, Cursor) normalized AI-assisted development. But no tool connects task management → code generation → review → deployment. FlowForge is first to close this loop.</w:t>
            </w:r>
          </w:p>
        </w:tc>
      </w:tr>
    </w:tbl>
    <w:p>
      <w:pPr>
        <w:spacing w:after="40" w:before="240"/>
      </w:pPr>
      <w:r>
        <w:rPr>
          <w:rFonts w:ascii="Calibri" w:hAnsi="Calibri"/>
          <w:b/>
          <w:color w:val="6366F1"/>
          <w:sz w:val="16"/>
        </w:rPr>
        <w:t>COMPETITIVE LANDSCAPE</w:t>
      </w:r>
    </w:p>
    <w:p>
      <w:pPr>
        <w:pStyle w:val="Heading2"/>
        <w:spacing w:before="0" w:after="80"/>
      </w:pPr>
      <w:r>
        <w:rPr>
          <w:rFonts w:ascii="Calibri" w:hAnsi="Calibri"/>
          <w:color w:val="0F172A"/>
        </w:rPr>
        <w:t>The only platform that closes the loop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475569"/>
                <w:sz w:val="16"/>
              </w:rPr>
              <w:t>Capability</w:t>
            </w:r>
          </w:p>
        </w:tc>
        <w:tc>
          <w:tcPr>
            <w:tcW w:type="dxa" w:w="1994"/>
            <w:shd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6366F1"/>
                <w:sz w:val="16"/>
              </w:rPr>
              <w:t>FlowForge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475569"/>
                <w:sz w:val="16"/>
              </w:rPr>
              <w:t>Jira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475569"/>
                <w:sz w:val="16"/>
              </w:rPr>
              <w:t>Linear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475569"/>
                <w:sz w:val="16"/>
              </w:rPr>
              <w:t>Copilot</w:t>
            </w:r>
          </w:p>
        </w:tc>
      </w:tr>
      <w:tr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0F172A"/>
                <w:sz w:val="16"/>
              </w:rPr>
              <w:t>Task &amp; Sprint Mgmt</w:t>
            </w:r>
          </w:p>
        </w:tc>
        <w:tc>
          <w:tcPr>
            <w:tcW w:type="dxa" w:w="1994"/>
            <w:shd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10B981"/>
                <w:sz w:val="16"/>
              </w:rPr>
              <w:t>✓ Full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10B981"/>
                <w:sz w:val="16"/>
              </w:rPr>
              <w:t>✓ Full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10B981"/>
                <w:sz w:val="16"/>
              </w:rPr>
              <w:t>✓ Full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CBD5E1"/>
                <w:sz w:val="16"/>
              </w:rPr>
              <w:t>✗</w:t>
            </w:r>
          </w:p>
        </w:tc>
      </w:tr>
      <w:tr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0F172A"/>
                <w:sz w:val="16"/>
              </w:rPr>
              <w:t>AI Code Generation</w:t>
            </w:r>
          </w:p>
        </w:tc>
        <w:tc>
          <w:tcPr>
            <w:tcW w:type="dxa" w:w="1994"/>
            <w:shd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10B981"/>
                <w:sz w:val="16"/>
              </w:rPr>
              <w:t>✓ Full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CBD5E1"/>
                <w:sz w:val="16"/>
              </w:rPr>
              <w:t>✗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CBD5E1"/>
                <w:sz w:val="16"/>
              </w:rPr>
              <w:t>✗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475569"/>
                <w:sz w:val="16"/>
              </w:rPr>
              <w:t>Inline</w:t>
            </w:r>
          </w:p>
        </w:tc>
      </w:tr>
      <w:tr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0F172A"/>
                <w:sz w:val="16"/>
              </w:rPr>
              <w:t>Auto PR Creation</w:t>
            </w:r>
          </w:p>
        </w:tc>
        <w:tc>
          <w:tcPr>
            <w:tcW w:type="dxa" w:w="1994"/>
            <w:shd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10B981"/>
                <w:sz w:val="16"/>
              </w:rPr>
              <w:t>✓ Full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CBD5E1"/>
                <w:sz w:val="16"/>
              </w:rPr>
              <w:t>✗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CBD5E1"/>
                <w:sz w:val="16"/>
              </w:rPr>
              <w:t>✗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CBD5E1"/>
                <w:sz w:val="16"/>
              </w:rPr>
              <w:t>✗</w:t>
            </w:r>
          </w:p>
        </w:tc>
      </w:tr>
      <w:tr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0F172A"/>
                <w:sz w:val="16"/>
              </w:rPr>
              <w:t>AI Review Response</w:t>
            </w:r>
          </w:p>
        </w:tc>
        <w:tc>
          <w:tcPr>
            <w:tcW w:type="dxa" w:w="1994"/>
            <w:shd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10B981"/>
                <w:sz w:val="16"/>
              </w:rPr>
              <w:t>✓ Full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CBD5E1"/>
                <w:sz w:val="16"/>
              </w:rPr>
              <w:t>✗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CBD5E1"/>
                <w:sz w:val="16"/>
              </w:rPr>
              <w:t>✗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CBD5E1"/>
                <w:sz w:val="16"/>
              </w:rPr>
              <w:t>✗</w:t>
            </w:r>
          </w:p>
        </w:tc>
      </w:tr>
      <w:tr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0F172A"/>
                <w:sz w:val="16"/>
              </w:rPr>
              <w:t>AI Sprint Planning</w:t>
            </w:r>
          </w:p>
        </w:tc>
        <w:tc>
          <w:tcPr>
            <w:tcW w:type="dxa" w:w="1994"/>
            <w:shd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10B981"/>
                <w:sz w:val="16"/>
              </w:rPr>
              <w:t>✓ Full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CBD5E1"/>
                <w:sz w:val="16"/>
              </w:rPr>
              <w:t>✗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CBD5E1"/>
                <w:sz w:val="16"/>
              </w:rPr>
              <w:t>✗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CBD5E1"/>
                <w:sz w:val="16"/>
              </w:rPr>
              <w:t>✗</w:t>
            </w:r>
          </w:p>
        </w:tc>
      </w:tr>
      <w:tr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0F172A"/>
                <w:sz w:val="16"/>
              </w:rPr>
              <w:t>GitHub Integration</w:t>
            </w:r>
          </w:p>
        </w:tc>
        <w:tc>
          <w:tcPr>
            <w:tcW w:type="dxa" w:w="1994"/>
            <w:shd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10B981"/>
                <w:sz w:val="16"/>
              </w:rPr>
              <w:t>✓ Native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475569"/>
                <w:sz w:val="16"/>
              </w:rPr>
              <w:t>Plugin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10B981"/>
                <w:sz w:val="16"/>
              </w:rPr>
              <w:t>✓ Good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10B981"/>
                <w:sz w:val="16"/>
              </w:rPr>
              <w:t>✓ Native</w:t>
            </w:r>
          </w:p>
        </w:tc>
      </w:tr>
      <w:tr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0F172A"/>
                <w:sz w:val="16"/>
              </w:rPr>
              <w:t>Task→Code→PR Loop</w:t>
            </w:r>
          </w:p>
        </w:tc>
        <w:tc>
          <w:tcPr>
            <w:tcW w:type="dxa" w:w="1994"/>
            <w:shd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10B981"/>
                <w:sz w:val="16"/>
              </w:rPr>
              <w:t>✓ E2E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CBD5E1"/>
                <w:sz w:val="16"/>
              </w:rPr>
              <w:t>✗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CBD5E1"/>
                <w:sz w:val="16"/>
              </w:rPr>
              <w:t>✗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CBD5E1"/>
                <w:sz w:val="16"/>
              </w:rPr>
              <w:t>✗</w:t>
            </w:r>
          </w:p>
        </w:tc>
      </w:tr>
      <w:tr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0F172A"/>
                <w:sz w:val="16"/>
              </w:rPr>
              <w:t>Multi AI Provider</w:t>
            </w:r>
          </w:p>
        </w:tc>
        <w:tc>
          <w:tcPr>
            <w:tcW w:type="dxa" w:w="1994"/>
            <w:shd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10B981"/>
                <w:sz w:val="16"/>
              </w:rPr>
              <w:t>✓ 2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CBD5E1"/>
                <w:sz w:val="16"/>
              </w:rPr>
              <w:t>✗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CBD5E1"/>
                <w:sz w:val="16"/>
              </w:rPr>
              <w:t>✗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CBD5E1"/>
                <w:sz w:val="16"/>
              </w:rPr>
              <w:t>✗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2FF"/>
          </w:tcPr>
          <w:p>
            <w:r>
              <w:rPr>
                <w:rFonts w:ascii="Calibri" w:hAnsi="Calibri"/>
                <w:b/>
                <w:color w:val="6366F1"/>
                <w:sz w:val="18"/>
              </w:rPr>
              <w:t xml:space="preserve">Moat: Data Flywheel — </w:t>
            </w:r>
            <w:r>
              <w:rPr>
                <w:rFonts w:ascii="Calibri" w:hAnsi="Calibri"/>
                <w:color w:val="475569"/>
                <w:sz w:val="18"/>
              </w:rPr>
              <w:t>Every AI execution improves code quality, review accuracy, and estimation precision. The task→PR pipeline creates compounding data advantages that competitors can't replicate without rebuilding both PM and AI layers.</w:t>
            </w:r>
          </w:p>
        </w:tc>
      </w:tr>
    </w:tbl>
    <w:p>
      <w:pPr>
        <w:spacing w:after="0" w:before="0"/>
      </w:pPr>
      <w:r>
        <w:rPr>
          <w:rFonts w:ascii="Calibri" w:hAnsi="Calibri"/>
          <w:b w:val="0"/>
          <w:color w:val="94A3B8"/>
          <w:sz w:val="16"/>
        </w:rPr>
        <w:br/>
        <w:t>FlowForge — Confidential                                                                                                          Page 2 of 4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0F172A"/>
          <w:sz w:val="32"/>
        </w:rPr>
        <w:t>FlowForge</w:t>
      </w:r>
      <w:r>
        <w:rPr>
          <w:rFonts w:ascii="Calibri" w:hAnsi="Calibri"/>
          <w:color w:val="94A3B8"/>
          <w:sz w:val="16"/>
        </w:rPr>
        <w:t xml:space="preserve">    Business Model, Traction &amp; Roadmap</w:t>
      </w:r>
    </w:p>
    <w:p>
      <w:pPr>
        <w:spacing w:before="80" w:after="80"/>
        <w:pBdr>
          <w:bottom w:val="single" w:sz="4" w:space="1" w:color="E2E8F0"/>
        </w:pBdr>
      </w:pPr>
    </w:p>
    <w:p>
      <w:pPr>
        <w:spacing w:after="40" w:before="240"/>
      </w:pPr>
      <w:r>
        <w:rPr>
          <w:rFonts w:ascii="Calibri" w:hAnsi="Calibri"/>
          <w:b/>
          <w:color w:val="6366F1"/>
          <w:sz w:val="16"/>
        </w:rPr>
        <w:t>BUSINESS MODEL</w:t>
      </w:r>
    </w:p>
    <w:p>
      <w:pPr>
        <w:pStyle w:val="Heading2"/>
        <w:spacing w:before="0" w:after="120"/>
      </w:pPr>
      <w:r>
        <w:rPr>
          <w:rFonts w:ascii="Calibri" w:hAnsi="Calibri"/>
          <w:color w:val="0F172A"/>
        </w:rPr>
        <w:t>SaaS + Usage-Based AI Upside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6366F1"/>
                <w:sz w:val="16"/>
              </w:rPr>
              <w:t>FREE</w:t>
            </w:r>
          </w:p>
        </w:tc>
        <w:tc>
          <w:tcPr>
            <w:tcW w:type="dxa" w:w="3324"/>
            <w:shd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6366F1"/>
                <w:sz w:val="16"/>
              </w:rPr>
              <w:t>PRO (Recommended)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6366F1"/>
                <w:sz w:val="16"/>
              </w:rPr>
              <w:t>ENTERPRISE</w:t>
            </w:r>
          </w:p>
        </w:tc>
      </w:tr>
      <w:tr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0F172A"/>
                <w:sz w:val="28"/>
              </w:rPr>
              <w:t>₹0</w:t>
            </w:r>
          </w:p>
        </w:tc>
        <w:tc>
          <w:tcPr>
            <w:tcW w:type="dxa" w:w="3324"/>
            <w:shd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0F172A"/>
                <w:sz w:val="28"/>
              </w:rPr>
              <w:t>₹999/user/mo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0F172A"/>
                <w:sz w:val="28"/>
              </w:rPr>
              <w:t>Custom</w:t>
            </w:r>
          </w:p>
        </w:tc>
      </w:tr>
      <w:tr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475569"/>
                <w:sz w:val="16"/>
              </w:rPr>
              <w:t>✓ Up to 3 projects</w:t>
            </w:r>
          </w:p>
        </w:tc>
        <w:tc>
          <w:tcPr>
            <w:tcW w:type="dxa" w:w="3324"/>
            <w:shd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475569"/>
                <w:sz w:val="16"/>
              </w:rPr>
              <w:t>✓ Unlimited projects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475569"/>
                <w:sz w:val="16"/>
              </w:rPr>
              <w:t>✓ SSO / SAML</w:t>
            </w:r>
          </w:p>
        </w:tc>
      </w:tr>
      <w:tr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475569"/>
                <w:sz w:val="16"/>
              </w:rPr>
              <w:t>✓ GitHub integration</w:t>
            </w:r>
          </w:p>
        </w:tc>
        <w:tc>
          <w:tcPr>
            <w:tcW w:type="dxa" w:w="3324"/>
            <w:shd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475569"/>
                <w:sz w:val="16"/>
              </w:rPr>
              <w:t>✓ Advanced AI generation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475569"/>
                <w:sz w:val="16"/>
              </w:rPr>
              <w:t>✓ On-premise deploy</w:t>
            </w:r>
          </w:p>
        </w:tc>
      </w:tr>
      <w:tr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475569"/>
                <w:sz w:val="16"/>
              </w:rPr>
              <w:t>✓ Basic AI suggestions</w:t>
            </w:r>
          </w:p>
        </w:tc>
        <w:tc>
          <w:tcPr>
            <w:tcW w:type="dxa" w:w="3324"/>
            <w:shd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475569"/>
                <w:sz w:val="16"/>
              </w:rPr>
              <w:t>✓ Sprint analytics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475569"/>
                <w:sz w:val="16"/>
              </w:rPr>
              <w:t>✓ Custom integrations</w:t>
            </w:r>
          </w:p>
        </w:tc>
      </w:tr>
    </w:tbl>
    <w:p>
      <w:pPr>
        <w:spacing w:after="120" w:before="0"/>
      </w:pPr>
      <w:r>
        <w:rPr>
          <w:rFonts w:ascii="Calibri" w:hAnsi="Calibri"/>
          <w:b w:val="0"/>
          <w:color w:val="475569"/>
          <w:sz w:val="18"/>
        </w:rPr>
        <w:t>Revenue drivers: Seat-based SaaS (predictable MRR) + AI execution credits (usage upside) + Enterprise annual contracts.</w:t>
      </w:r>
    </w:p>
    <w:p>
      <w:pPr>
        <w:spacing w:after="40" w:before="240"/>
      </w:pPr>
      <w:r>
        <w:rPr>
          <w:rFonts w:ascii="Calibri" w:hAnsi="Calibri"/>
          <w:b/>
          <w:color w:val="6366F1"/>
          <w:sz w:val="16"/>
        </w:rPr>
        <w:t>TARGET UNIT ECONOMICS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8FAFC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475569"/>
                <w:sz w:val="18"/>
              </w:rPr>
              <w:t>LTV (per seat)</w:t>
            </w:r>
          </w:p>
        </w:tc>
        <w:tc>
          <w:tcPr>
            <w:tcW w:type="dxa" w:w="4986"/>
            <w:shd w:fill="F8FAF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0F172A"/>
                <w:sz w:val="18"/>
              </w:rPr>
              <w:t>₹2.4L ($2,880)</w:t>
            </w:r>
          </w:p>
        </w:tc>
      </w:tr>
      <w:tr>
        <w:tc>
          <w:tcPr>
            <w:tcW w:type="dxa" w:w="4986"/>
            <w:shd w:fill="F8FAFC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475569"/>
                <w:sz w:val="18"/>
              </w:rPr>
              <w:t>CAC</w:t>
            </w:r>
          </w:p>
        </w:tc>
        <w:tc>
          <w:tcPr>
            <w:tcW w:type="dxa" w:w="4986"/>
            <w:shd w:fill="F8FAF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0F172A"/>
                <w:sz w:val="18"/>
              </w:rPr>
              <w:t>₹26K ($320)</w:t>
            </w:r>
          </w:p>
        </w:tc>
      </w:tr>
      <w:tr>
        <w:tc>
          <w:tcPr>
            <w:tcW w:type="dxa" w:w="4986"/>
            <w:shd w:fill="F8FAFC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475569"/>
                <w:sz w:val="18"/>
              </w:rPr>
              <w:t>LTV:CAC Ratio</w:t>
            </w:r>
          </w:p>
        </w:tc>
        <w:tc>
          <w:tcPr>
            <w:tcW w:type="dxa" w:w="4986"/>
            <w:shd w:fill="F8FAF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6366F1"/>
                <w:sz w:val="18"/>
              </w:rPr>
              <w:t>9:1</w:t>
            </w:r>
          </w:p>
        </w:tc>
      </w:tr>
      <w:tr>
        <w:tc>
          <w:tcPr>
            <w:tcW w:type="dxa" w:w="4986"/>
            <w:shd w:fill="F8FAFC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475569"/>
                <w:sz w:val="18"/>
              </w:rPr>
              <w:t>Gross Margin</w:t>
            </w:r>
          </w:p>
        </w:tc>
        <w:tc>
          <w:tcPr>
            <w:tcW w:type="dxa" w:w="4986"/>
            <w:shd w:fill="F8FAF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0F172A"/>
                <w:sz w:val="18"/>
              </w:rPr>
              <w:t>78%</w:t>
            </w:r>
          </w:p>
        </w:tc>
      </w:tr>
      <w:tr>
        <w:tc>
          <w:tcPr>
            <w:tcW w:type="dxa" w:w="4986"/>
            <w:shd w:fill="F8FAFC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475569"/>
                <w:sz w:val="18"/>
              </w:rPr>
              <w:t>Net Revenue Retention</w:t>
            </w:r>
          </w:p>
        </w:tc>
        <w:tc>
          <w:tcPr>
            <w:tcW w:type="dxa" w:w="4986"/>
            <w:shd w:fill="F8FAF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0F172A"/>
                <w:sz w:val="18"/>
              </w:rPr>
              <w:t>125%</w:t>
            </w:r>
          </w:p>
        </w:tc>
      </w:tr>
      <w:tr>
        <w:tc>
          <w:tcPr>
            <w:tcW w:type="dxa" w:w="4986"/>
            <w:shd w:fill="F8FAFC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475569"/>
                <w:sz w:val="18"/>
              </w:rPr>
              <w:t>Payback Period</w:t>
            </w:r>
          </w:p>
        </w:tc>
        <w:tc>
          <w:tcPr>
            <w:tcW w:type="dxa" w:w="4986"/>
            <w:shd w:fill="F8FAF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0F172A"/>
                <w:sz w:val="18"/>
              </w:rPr>
              <w:t>4 months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0FDF4"/>
          </w:tcPr>
          <w:p>
            <w:r>
              <w:rPr>
                <w:rFonts w:ascii="Calibri" w:hAnsi="Calibri"/>
                <w:b/>
                <w:color w:val="065F46"/>
                <w:sz w:val="18"/>
              </w:rPr>
              <w:t xml:space="preserve">Land &amp; Expand: </w:t>
            </w:r>
            <w:r>
              <w:rPr>
                <w:rFonts w:ascii="Calibri" w:hAnsi="Calibri"/>
                <w:color w:val="047857"/>
                <w:sz w:val="18"/>
              </w:rPr>
              <w:t>Free tier drives adoption → teams upgrade as AI executions prove value → average expansion 3x within 6 months. PLG motion keeps CAC low.</w:t>
            </w:r>
          </w:p>
        </w:tc>
      </w:tr>
    </w:tbl>
    <w:p>
      <w:pPr>
        <w:spacing w:before="80" w:after="80"/>
        <w:pBdr>
          <w:bottom w:val="single" w:sz="4" w:space="1" w:color="E2E8F0"/>
        </w:pBdr>
      </w:pPr>
    </w:p>
    <w:p>
      <w:pPr>
        <w:spacing w:after="40" w:before="240"/>
      </w:pPr>
      <w:r>
        <w:rPr>
          <w:rFonts w:ascii="Calibri" w:hAnsi="Calibri"/>
          <w:b/>
          <w:color w:val="6366F1"/>
          <w:sz w:val="16"/>
        </w:rPr>
        <w:t>TRACTION</w:t>
      </w:r>
    </w:p>
    <w:p>
      <w:pPr>
        <w:pStyle w:val="Heading2"/>
        <w:spacing w:before="0" w:after="120"/>
      </w:pPr>
      <w:r>
        <w:rPr>
          <w:rFonts w:ascii="Calibri" w:hAnsi="Calibri"/>
          <w:color w:val="0F172A"/>
        </w:rPr>
        <w:t>Product-First, Capital-Efficient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6366F1"/>
                <w:sz w:val="32"/>
              </w:rPr>
              <w:t>295+</w:t>
              <w:br/>
            </w:r>
            <w:r>
              <w:rPr>
                <w:rFonts w:ascii="Calibri" w:hAnsi="Calibri"/>
                <w:color w:val="475569"/>
                <w:sz w:val="16"/>
              </w:rPr>
              <w:t>Source files shipped</w:t>
            </w:r>
          </w:p>
        </w:tc>
        <w:tc>
          <w:tcPr>
            <w:tcW w:type="dxa" w:w="2493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6366F1"/>
                <w:sz w:val="32"/>
              </w:rPr>
              <w:t>50+</w:t>
              <w:br/>
            </w:r>
            <w:r>
              <w:rPr>
                <w:rFonts w:ascii="Calibri" w:hAnsi="Calibri"/>
                <w:color w:val="475569"/>
                <w:sz w:val="16"/>
              </w:rPr>
              <w:t>Features built</w:t>
            </w:r>
          </w:p>
        </w:tc>
        <w:tc>
          <w:tcPr>
            <w:tcW w:type="dxa" w:w="2493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6366F1"/>
                <w:sz w:val="32"/>
              </w:rPr>
              <w:t>15+</w:t>
              <w:br/>
            </w:r>
            <w:r>
              <w:rPr>
                <w:rFonts w:ascii="Calibri" w:hAnsi="Calibri"/>
                <w:color w:val="475569"/>
                <w:sz w:val="16"/>
              </w:rPr>
              <w:t>PRs merged</w:t>
            </w:r>
          </w:p>
        </w:tc>
        <w:tc>
          <w:tcPr>
            <w:tcW w:type="dxa" w:w="2493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6366F1"/>
                <w:sz w:val="32"/>
              </w:rPr>
              <w:t>2</w:t>
              <w:br/>
            </w:r>
            <w:r>
              <w:rPr>
                <w:rFonts w:ascii="Calibri" w:hAnsi="Calibri"/>
                <w:color w:val="475569"/>
                <w:sz w:val="16"/>
              </w:rPr>
              <w:t>AI providers</w:t>
            </w:r>
          </w:p>
        </w:tc>
      </w:tr>
    </w:tbl>
    <w:p>
      <w:pPr>
        <w:pStyle w:val="ListBullet"/>
        <w:spacing w:after="40" w:before="0"/>
      </w:pPr>
      <w:r>
        <w:rPr>
          <w:rFonts w:ascii="Calibri" w:hAnsi="Calibri"/>
          <w:color w:val="475569"/>
          <w:sz w:val="20"/>
        </w:rPr>
        <w:t>Full Kanban board with drag-and-drop, WIP limits, task hierarchy (Epics → Subtasks)</w:t>
      </w:r>
    </w:p>
    <w:p>
      <w:pPr>
        <w:pStyle w:val="ListBullet"/>
        <w:spacing w:after="40" w:before="0"/>
      </w:pPr>
      <w:r>
        <w:rPr>
          <w:rFonts w:ascii="Calibri" w:hAnsi="Calibri"/>
          <w:color w:val="475569"/>
          <w:sz w:val="20"/>
        </w:rPr>
        <w:t>End-to-end AI code generation pipeline with human-in-the-loop review</w:t>
      </w:r>
    </w:p>
    <w:p>
      <w:pPr>
        <w:pStyle w:val="ListBullet"/>
        <w:spacing w:after="40" w:before="0"/>
      </w:pPr>
      <w:r>
        <w:rPr>
          <w:rFonts w:ascii="Calibri" w:hAnsi="Calibri"/>
          <w:color w:val="475569"/>
          <w:sz w:val="20"/>
        </w:rPr>
        <w:t>Deep GitHub integration — webhooks, PR management, CI/CD tracking</w:t>
      </w:r>
    </w:p>
    <w:p>
      <w:pPr>
        <w:pStyle w:val="ListBullet"/>
        <w:spacing w:after="40" w:before="0"/>
      </w:pPr>
      <w:r>
        <w:rPr>
          <w:rFonts w:ascii="Calibri" w:hAnsi="Calibri"/>
          <w:color w:val="475569"/>
          <w:sz w:val="20"/>
        </w:rPr>
        <w:t>AI sprint planning — risk assessment, dependency detection, auto-retros</w:t>
      </w:r>
    </w:p>
    <w:p>
      <w:pPr>
        <w:pStyle w:val="ListBullet"/>
        <w:spacing w:after="40" w:before="0"/>
      </w:pPr>
      <w:r>
        <w:rPr>
          <w:rFonts w:ascii="Calibri" w:hAnsi="Calibri"/>
          <w:color w:val="475569"/>
          <w:sz w:val="20"/>
        </w:rPr>
        <w:t>Multi-tenant org support with role-based access control</w:t>
      </w:r>
    </w:p>
    <w:p>
      <w:pPr>
        <w:pStyle w:val="ListBullet"/>
        <w:spacing w:after="40" w:before="0"/>
      </w:pPr>
      <w:r>
        <w:rPr>
          <w:rFonts w:ascii="Calibri" w:hAnsi="Calibri"/>
          <w:color w:val="475569"/>
          <w:sz w:val="20"/>
        </w:rPr>
        <w:t>Open-source community with organic contributors and feature requests</w:t>
      </w:r>
    </w:p>
    <w:p>
      <w:pPr>
        <w:spacing w:before="80" w:after="80"/>
        <w:pBdr>
          <w:bottom w:val="single" w:sz="4" w:space="1" w:color="E2E8F0"/>
        </w:pBdr>
      </w:pPr>
    </w:p>
    <w:p>
      <w:pPr>
        <w:spacing w:after="40" w:before="240"/>
      </w:pPr>
      <w:r>
        <w:rPr>
          <w:rFonts w:ascii="Calibri" w:hAnsi="Calibri"/>
          <w:b/>
          <w:color w:val="6366F1"/>
          <w:sz w:val="16"/>
        </w:rPr>
        <w:t>ROADMAP</w:t>
      </w:r>
    </w:p>
    <w:p>
      <w:pPr>
        <w:spacing w:after="40" w:before="0"/>
      </w:pPr>
      <w:r>
        <w:rPr>
          <w:rFonts w:ascii="Calibri" w:hAnsi="Calibri"/>
          <w:b/>
          <w:color w:val="0F172A"/>
          <w:sz w:val="18"/>
        </w:rPr>
        <w:t>✓ Phase 1 — Foundation (Done)</w:t>
      </w:r>
      <w:r>
        <w:rPr>
          <w:rFonts w:ascii="Calibri" w:hAnsi="Calibri"/>
          <w:color w:val="475569"/>
          <w:sz w:val="18"/>
        </w:rPr>
        <w:t xml:space="preserve"> — Core PM, Kanban, sprints, GitHub integration, AI code generation pipeline</w:t>
      </w:r>
    </w:p>
    <w:p>
      <w:pPr>
        <w:spacing w:after="40" w:before="0"/>
      </w:pPr>
      <w:r>
        <w:rPr>
          <w:rFonts w:ascii="Calibri" w:hAnsi="Calibri"/>
          <w:b/>
          <w:color w:val="0F172A"/>
          <w:sz w:val="18"/>
        </w:rPr>
        <w:t>→ Phase 2 — Intelligence (Q2 2026)</w:t>
      </w:r>
      <w:r>
        <w:rPr>
          <w:rFonts w:ascii="Calibri" w:hAnsi="Calibri"/>
          <w:color w:val="475569"/>
          <w:sz w:val="18"/>
        </w:rPr>
        <w:t xml:space="preserve"> — Advanced analytics, velocity/burndown charts, time tracking, custom dashboards</w:t>
      </w:r>
    </w:p>
    <w:p>
      <w:pPr>
        <w:spacing w:after="40" w:before="0"/>
      </w:pPr>
      <w:r>
        <w:rPr>
          <w:rFonts w:ascii="Calibri" w:hAnsi="Calibri"/>
          <w:b/>
          <w:color w:val="0F172A"/>
          <w:sz w:val="18"/>
        </w:rPr>
        <w:t>Phase 3 — Ecosystem (Q3 2026)</w:t>
      </w:r>
      <w:r>
        <w:rPr>
          <w:rFonts w:ascii="Calibri" w:hAnsi="Calibri"/>
          <w:color w:val="475569"/>
          <w:sz w:val="18"/>
        </w:rPr>
        <w:t xml:space="preserve"> — Slack, GitLab, Jira migration, API marketplace, automation rules</w:t>
      </w:r>
    </w:p>
    <w:p>
      <w:pPr>
        <w:spacing w:after="40" w:before="0"/>
      </w:pPr>
      <w:r>
        <w:rPr>
          <w:rFonts w:ascii="Calibri" w:hAnsi="Calibri"/>
          <w:b/>
          <w:color w:val="0F172A"/>
          <w:sz w:val="18"/>
        </w:rPr>
        <w:t>Phase 4 — Enterprise (Q4 2026)</w:t>
      </w:r>
      <w:r>
        <w:rPr>
          <w:rFonts w:ascii="Calibri" w:hAnsi="Calibri"/>
          <w:color w:val="475569"/>
          <w:sz w:val="18"/>
        </w:rPr>
        <w:t xml:space="preserve"> — SSO/SAML, on-premise, SOC 2, audit logs, advanced RBAC</w:t>
      </w:r>
    </w:p>
    <w:p>
      <w:pPr>
        <w:spacing w:after="0" w:before="0"/>
      </w:pPr>
      <w:r>
        <w:rPr>
          <w:rFonts w:ascii="Calibri" w:hAnsi="Calibri"/>
          <w:b w:val="0"/>
          <w:color w:val="94A3B8"/>
          <w:sz w:val="16"/>
        </w:rPr>
        <w:br/>
        <w:t>FlowForge — Confidential                                                                                                          Page 3 of 4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0F172A"/>
          <w:sz w:val="32"/>
        </w:rPr>
        <w:t>FlowForge</w:t>
      </w:r>
      <w:r>
        <w:rPr>
          <w:rFonts w:ascii="Calibri" w:hAnsi="Calibri"/>
          <w:color w:val="94A3B8"/>
          <w:sz w:val="16"/>
        </w:rPr>
        <w:t xml:space="preserve">    The Ask &amp; Vision</w:t>
      </w:r>
    </w:p>
    <w:p>
      <w:pPr>
        <w:spacing w:before="80" w:after="80"/>
        <w:pBdr>
          <w:bottom w:val="single" w:sz="4" w:space="1" w:color="E2E8F0"/>
        </w:pBdr>
      </w:pPr>
    </w:p>
    <w:p>
      <w:pPr>
        <w:spacing w:after="40" w:before="240"/>
      </w:pPr>
      <w:r>
        <w:rPr>
          <w:rFonts w:ascii="Calibri" w:hAnsi="Calibri"/>
          <w:b/>
          <w:color w:val="6366F1"/>
          <w:sz w:val="16"/>
        </w:rPr>
        <w:t>THE ASK</w:t>
      </w:r>
    </w:p>
    <w:p>
      <w:pPr>
        <w:pStyle w:val="Heading1"/>
        <w:spacing w:before="0" w:after="80"/>
      </w:pPr>
      <w:r>
        <w:rPr>
          <w:rFonts w:ascii="Calibri" w:hAnsi="Calibri"/>
          <w:color w:val="0F172A"/>
        </w:rPr>
        <w:t>Raising ₹20 Crore (~$2.5M) Seed Round</w:t>
      </w:r>
    </w:p>
    <w:p>
      <w:pPr>
        <w:spacing w:after="200" w:before="0"/>
      </w:pPr>
      <w:r>
        <w:rPr>
          <w:rFonts w:ascii="Calibri" w:hAnsi="Calibri"/>
          <w:b w:val="0"/>
          <w:color w:val="475569"/>
          <w:sz w:val="22"/>
        </w:rPr>
        <w:t>To accelerate product development, launch publicly, build the go-to-market engine, and capture the AI-native project management category — from India, for the world.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EF2FF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b/>
                <w:color w:val="6366F1"/>
                <w:sz w:val="40"/>
              </w:rPr>
              <w:t>₹20 Cr</w:t>
              <w:br/>
            </w:r>
            <w:r>
              <w:rPr>
                <w:rFonts w:ascii="Calibri" w:hAnsi="Calibri"/>
                <w:color w:val="475569"/>
                <w:sz w:val="18"/>
              </w:rPr>
              <w:t>Seed Round (~$2.5M)</w:t>
            </w:r>
          </w:p>
        </w:tc>
        <w:tc>
          <w:tcPr>
            <w:tcW w:type="dxa" w:w="3324"/>
            <w:shd w:fill="F0FDF4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b/>
                <w:color w:val="10B981"/>
                <w:sz w:val="40"/>
              </w:rPr>
              <w:t>18 mo</w:t>
              <w:br/>
            </w:r>
            <w:r>
              <w:rPr>
                <w:rFonts w:ascii="Calibri" w:hAnsi="Calibri"/>
                <w:color w:val="475569"/>
                <w:sz w:val="18"/>
              </w:rPr>
              <w:t>Runway to Series A</w:t>
            </w:r>
          </w:p>
        </w:tc>
        <w:tc>
          <w:tcPr>
            <w:tcW w:type="dxa" w:w="3324"/>
            <w:shd w:fill="FFFBEB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b/>
                <w:color w:val="F59E0B"/>
                <w:sz w:val="40"/>
              </w:rPr>
              <w:t>₹16 Cr+</w:t>
              <w:br/>
            </w:r>
            <w:r>
              <w:rPr>
                <w:rFonts w:ascii="Calibri" w:hAnsi="Calibri"/>
                <w:color w:val="475569"/>
                <w:sz w:val="18"/>
              </w:rPr>
              <w:t>ARR Target (2027)</w:t>
            </w:r>
          </w:p>
        </w:tc>
      </w:tr>
    </w:tbl>
    <w:p>
      <w:pPr>
        <w:spacing w:after="40" w:before="240"/>
      </w:pPr>
      <w:r>
        <w:rPr>
          <w:rFonts w:ascii="Calibri" w:hAnsi="Calibri"/>
          <w:b/>
          <w:color w:val="6366F1"/>
          <w:sz w:val="16"/>
        </w:rPr>
        <w:t>USE OF FUNDS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8FAF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0F172A"/>
                <w:sz w:val="18"/>
              </w:rPr>
              <w:t>Engineering (50%)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6366F1"/>
                <w:sz w:val="18"/>
              </w:rPr>
              <w:t>₹10 Cr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475569"/>
                <w:sz w:val="18"/>
              </w:rPr>
              <w:t>Hire 3-4 senior engineers to accelerate roadmap</w:t>
            </w:r>
          </w:p>
        </w:tc>
      </w:tr>
      <w:tr>
        <w:tc>
          <w:tcPr>
            <w:tcW w:type="dxa" w:w="3324"/>
            <w:shd w:fill="F8FAF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0F172A"/>
                <w:sz w:val="18"/>
              </w:rPr>
              <w:t>AI Infrastructure (20%)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6366F1"/>
                <w:sz w:val="18"/>
              </w:rPr>
              <w:t>₹4 Cr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475569"/>
                <w:sz w:val="18"/>
              </w:rPr>
              <w:t>API costs, model fine-tuning, execution pipeline</w:t>
            </w:r>
          </w:p>
        </w:tc>
      </w:tr>
      <w:tr>
        <w:tc>
          <w:tcPr>
            <w:tcW w:type="dxa" w:w="3324"/>
            <w:shd w:fill="F8FAF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0F172A"/>
                <w:sz w:val="18"/>
              </w:rPr>
              <w:t>Go-to-Market (20%)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6366F1"/>
                <w:sz w:val="18"/>
              </w:rPr>
              <w:t>₹4 Cr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475569"/>
                <w:sz w:val="18"/>
              </w:rPr>
              <w:t>DevRel, content marketing, community building, India GTM</w:t>
            </w:r>
          </w:p>
        </w:tc>
      </w:tr>
      <w:tr>
        <w:tc>
          <w:tcPr>
            <w:tcW w:type="dxa" w:w="3324"/>
            <w:shd w:fill="F8FAFC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0F172A"/>
                <w:sz w:val="18"/>
              </w:rPr>
              <w:t>Operations (10%)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6366F1"/>
                <w:sz w:val="18"/>
              </w:rPr>
              <w:t>₹2 Cr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475569"/>
                <w:sz w:val="18"/>
              </w:rPr>
              <w:t>Legal, compliance (SOC 2), cloud infrastructure</w:t>
            </w:r>
          </w:p>
        </w:tc>
      </w:tr>
    </w:tbl>
    <w:p>
      <w:pPr>
        <w:spacing w:after="40" w:before="240"/>
      </w:pPr>
      <w:r>
        <w:rPr>
          <w:rFonts w:ascii="Calibri" w:hAnsi="Calibri"/>
          <w:b/>
          <w:color w:val="6366F1"/>
          <w:sz w:val="16"/>
        </w:rPr>
        <w:t>KEY MILESTONES</w:t>
      </w:r>
    </w:p>
    <w:p>
      <w:pPr>
        <w:spacing w:after="60" w:before="0"/>
      </w:pPr>
      <w:r>
        <w:rPr>
          <w:rFonts w:ascii="Calibri" w:hAnsi="Calibri"/>
          <w:b/>
          <w:color w:val="0F172A"/>
          <w:sz w:val="18"/>
        </w:rPr>
        <w:t xml:space="preserve">Q2 2026 — Public Beta — </w:t>
      </w:r>
      <w:r>
        <w:rPr>
          <w:rFonts w:ascii="Calibri" w:hAnsi="Calibri"/>
          <w:color w:val="475569"/>
          <w:sz w:val="18"/>
        </w:rPr>
        <w:t>Open sign-ups, free tier launch, community building. Target: 500 active teams.</w:t>
      </w:r>
    </w:p>
    <w:p>
      <w:pPr>
        <w:spacing w:after="60" w:before="0"/>
      </w:pPr>
      <w:r>
        <w:rPr>
          <w:rFonts w:ascii="Calibri" w:hAnsi="Calibri"/>
          <w:b/>
          <w:color w:val="0F172A"/>
          <w:sz w:val="18"/>
        </w:rPr>
        <w:t xml:space="preserve">Q3 2026 — Revenue Launch — </w:t>
      </w:r>
      <w:r>
        <w:rPr>
          <w:rFonts w:ascii="Calibri" w:hAnsi="Calibri"/>
          <w:color w:val="475569"/>
          <w:sz w:val="18"/>
        </w:rPr>
        <w:t>Pro tier monetization, GCC outreach, enterprise pilots. Target: ₹40L MRR.</w:t>
      </w:r>
    </w:p>
    <w:p>
      <w:pPr>
        <w:spacing w:after="60" w:before="0"/>
      </w:pPr>
      <w:r>
        <w:rPr>
          <w:rFonts w:ascii="Calibri" w:hAnsi="Calibri"/>
          <w:b/>
          <w:color w:val="0F172A"/>
          <w:sz w:val="18"/>
        </w:rPr>
        <w:t xml:space="preserve">Q4 2026 — Enterprise Ready — </w:t>
      </w:r>
      <w:r>
        <w:rPr>
          <w:rFonts w:ascii="Calibri" w:hAnsi="Calibri"/>
          <w:color w:val="475569"/>
          <w:sz w:val="18"/>
        </w:rPr>
        <w:t>SOC 2, SSO/SAML, on-premise option. Target: 3 enterprise contracts.</w:t>
      </w:r>
    </w:p>
    <w:p>
      <w:pPr>
        <w:spacing w:after="60" w:before="0"/>
      </w:pPr>
      <w:r>
        <w:rPr>
          <w:rFonts w:ascii="Calibri" w:hAnsi="Calibri"/>
          <w:b/>
          <w:color w:val="0F172A"/>
          <w:sz w:val="18"/>
        </w:rPr>
        <w:t xml:space="preserve">2027 — Series A Position — </w:t>
      </w:r>
      <w:r>
        <w:rPr>
          <w:rFonts w:ascii="Calibri" w:hAnsi="Calibri"/>
          <w:color w:val="475569"/>
          <w:sz w:val="18"/>
        </w:rPr>
        <w:t>₹16 Cr+ ARR, 50+ paying teams, proven unit economics, category leadership.</w:t>
      </w:r>
    </w:p>
    <w:p>
      <w:pPr>
        <w:spacing w:before="80" w:after="80"/>
        <w:pBdr>
          <w:bottom w:val="single" w:sz="4" w:space="1" w:color="E2E8F0"/>
        </w:pBdr>
      </w:pPr>
    </w:p>
    <w:p>
      <w:pPr>
        <w:spacing w:before="320"/>
        <w:jc w:val="center"/>
      </w:pPr>
      <w:r>
        <w:rPr>
          <w:rFonts w:ascii="Calibri" w:hAnsi="Calibri"/>
          <w:b/>
          <w:color w:val="0F172A"/>
          <w:sz w:val="36"/>
        </w:rPr>
        <w:t>FlowForge</w:t>
        <w:br/>
      </w:r>
    </w:p>
    <w:p>
      <w:pPr>
        <w:spacing w:after="80"/>
        <w:jc w:val="center"/>
      </w:pPr>
      <w:r>
        <w:rPr>
          <w:rFonts w:ascii="Calibri" w:hAnsi="Calibri"/>
          <w:b/>
          <w:color w:val="0F172A"/>
          <w:sz w:val="28"/>
        </w:rPr>
        <w:t>The future of software delivery starts here.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20"/>
        </w:rPr>
        <w:t>Not another project management tool — the platform that makes engineering teams superhuman.</w:t>
      </w:r>
    </w:p>
    <w:p>
      <w:pPr>
        <w:spacing w:after="320"/>
        <w:jc w:val="center"/>
      </w:pPr>
      <w:r>
        <w:rPr>
          <w:rFonts w:ascii="Calibri" w:hAnsi="Calibri"/>
          <w:color w:val="6366F1"/>
          <w:sz w:val="20"/>
        </w:rPr>
        <w:t xml:space="preserve">  flowforge.dev  </w:t>
      </w:r>
      <w:r>
        <w:rPr>
          <w:color w:val="E2E8F0"/>
          <w:sz w:val="20"/>
        </w:rPr>
        <w:t xml:space="preserve">  |</w:t>
      </w:r>
      <w:r>
        <w:rPr>
          <w:rFonts w:ascii="Calibri" w:hAnsi="Calibri"/>
          <w:color w:val="6366F1"/>
          <w:sz w:val="20"/>
        </w:rPr>
        <w:t xml:space="preserve">  team@flowforge.dev  </w:t>
      </w:r>
      <w:r>
        <w:rPr>
          <w:color w:val="E2E8F0"/>
          <w:sz w:val="20"/>
        </w:rPr>
        <w:t xml:space="preserve">  |</w:t>
      </w:r>
      <w:r>
        <w:rPr>
          <w:rFonts w:ascii="Calibri" w:hAnsi="Calibri"/>
          <w:color w:val="6366F1"/>
          <w:sz w:val="20"/>
        </w:rPr>
        <w:t xml:space="preserve">  github.com/flowforge  </w:t>
      </w:r>
      <w:r>
        <w:rPr>
          <w:color w:val="E2E8F0"/>
          <w:sz w:val="20"/>
        </w:rPr>
        <w:t xml:space="preserve">  |</w:t>
      </w:r>
    </w:p>
    <w:p>
      <w:pPr>
        <w:spacing w:after="0" w:before="0"/>
      </w:pPr>
      <w:r>
        <w:rPr>
          <w:rFonts w:ascii="Calibri" w:hAnsi="Calibri"/>
          <w:b w:val="0"/>
          <w:color w:val="94A3B8"/>
          <w:sz w:val="16"/>
        </w:rPr>
        <w:br/>
        <w:t>FlowForge — Confidential                                                                                                          Page 4 of 4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