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AA2" w:rsidRPr="00305F6F" w:rsidRDefault="00DD7362" w:rsidP="006F0AA2">
      <w:pPr>
        <w:jc w:val="both"/>
        <w:rPr>
          <w:rFonts w:ascii="Calibri" w:hAnsi="Calibri" w:cs="Calibri"/>
          <w:szCs w:val="22"/>
        </w:rPr>
      </w:pPr>
      <w:bookmarkStart w:id="0" w:name="OLE_LINK6"/>
      <w:bookmarkStart w:id="1" w:name="OLE_LINK1"/>
      <w:r w:rsidRPr="008166EF">
        <w:rPr>
          <w:rFonts w:ascii="Calibri" w:hAnsi="Calibri" w:cs="Calibri"/>
          <w:b/>
          <w:bCs/>
          <w:noProof/>
          <w:sz w:val="23"/>
          <w:szCs w:val="23"/>
        </w:rPr>
        <w:drawing>
          <wp:anchor distT="0" distB="0" distL="114300" distR="114300" simplePos="0" relativeHeight="251685887" behindDoc="1" locked="0" layoutInCell="1" allowOverlap="1" wp14:anchorId="7BBD5977" wp14:editId="2A1E28C9">
            <wp:simplePos x="0" y="0"/>
            <wp:positionH relativeFrom="column">
              <wp:posOffset>3452495</wp:posOffset>
            </wp:positionH>
            <wp:positionV relativeFrom="paragraph">
              <wp:posOffset>702310</wp:posOffset>
            </wp:positionV>
            <wp:extent cx="2522855" cy="819785"/>
            <wp:effectExtent l="0" t="0" r="0" b="0"/>
            <wp:wrapThrough wrapText="bothSides">
              <wp:wrapPolygon edited="0">
                <wp:start x="0" y="0"/>
                <wp:lineTo x="0" y="21081"/>
                <wp:lineTo x="21366" y="21081"/>
                <wp:lineTo x="213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 Build Community (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855" cy="819785"/>
                    </a:xfrm>
                    <a:prstGeom prst="rect">
                      <a:avLst/>
                    </a:prstGeom>
                  </pic:spPr>
                </pic:pic>
              </a:graphicData>
            </a:graphic>
            <wp14:sizeRelH relativeFrom="page">
              <wp14:pctWidth>0</wp14:pctWidth>
            </wp14:sizeRelH>
            <wp14:sizeRelV relativeFrom="page">
              <wp14:pctHeight>0</wp14:pctHeight>
            </wp14:sizeRelV>
          </wp:anchor>
        </w:drawing>
      </w:r>
      <w:r w:rsidR="00F93C23">
        <w:rPr>
          <w:rFonts w:ascii="Calibri" w:hAnsi="Calibri" w:cs="Calibri"/>
          <w:sz w:val="23"/>
          <w:szCs w:val="23"/>
        </w:rPr>
        <w:t>M</w:t>
      </w:r>
      <w:bookmarkStart w:id="2" w:name="_GoBack"/>
      <w:bookmarkEnd w:id="2"/>
      <w:r w:rsidR="006F0AA2" w:rsidRPr="008166EF">
        <w:rPr>
          <w:rFonts w:ascii="Calibri" w:hAnsi="Calibri" w:cs="Calibri"/>
          <w:sz w:val="23"/>
          <w:szCs w:val="23"/>
        </w:rPr>
        <w:t>ajor categories that make up the General Fund expenditures include: Salaries &amp; Wages (</w:t>
      </w:r>
      <w:r w:rsidR="00AE5618" w:rsidRPr="008166EF">
        <w:rPr>
          <w:rFonts w:ascii="Calibri" w:hAnsi="Calibri" w:cs="Calibri"/>
          <w:sz w:val="23"/>
          <w:szCs w:val="23"/>
        </w:rPr>
        <w:t>46.2</w:t>
      </w:r>
      <w:r w:rsidR="006F0AA2" w:rsidRPr="008166EF">
        <w:rPr>
          <w:rFonts w:ascii="Calibri" w:hAnsi="Calibri" w:cs="Calibri"/>
          <w:sz w:val="23"/>
          <w:szCs w:val="23"/>
        </w:rPr>
        <w:t>%), Fringe Benefits (</w:t>
      </w:r>
      <w:r w:rsidR="00AE5618" w:rsidRPr="008166EF">
        <w:rPr>
          <w:rFonts w:ascii="Calibri" w:hAnsi="Calibri" w:cs="Calibri"/>
          <w:sz w:val="23"/>
          <w:szCs w:val="23"/>
        </w:rPr>
        <w:t>17.6</w:t>
      </w:r>
      <w:r w:rsidR="006F0AA2" w:rsidRPr="008166EF">
        <w:rPr>
          <w:rFonts w:ascii="Calibri" w:hAnsi="Calibri" w:cs="Calibri"/>
          <w:sz w:val="23"/>
          <w:szCs w:val="23"/>
        </w:rPr>
        <w:t>%), Services &amp; Materials (</w:t>
      </w:r>
      <w:r w:rsidR="00AE5618" w:rsidRPr="008166EF">
        <w:rPr>
          <w:rFonts w:ascii="Calibri" w:hAnsi="Calibri" w:cs="Calibri"/>
          <w:sz w:val="23"/>
          <w:szCs w:val="23"/>
        </w:rPr>
        <w:t>10.7</w:t>
      </w:r>
      <w:r w:rsidR="006F0AA2" w:rsidRPr="008166EF">
        <w:rPr>
          <w:rFonts w:ascii="Calibri" w:hAnsi="Calibri" w:cs="Calibri"/>
          <w:sz w:val="23"/>
          <w:szCs w:val="23"/>
        </w:rPr>
        <w:t>%), Other Operating (</w:t>
      </w:r>
      <w:r w:rsidR="00AE5618" w:rsidRPr="008166EF">
        <w:rPr>
          <w:rFonts w:ascii="Calibri" w:hAnsi="Calibri" w:cs="Calibri"/>
          <w:sz w:val="23"/>
          <w:szCs w:val="23"/>
        </w:rPr>
        <w:t>11.7</w:t>
      </w:r>
      <w:r w:rsidR="006F0AA2" w:rsidRPr="008166EF">
        <w:rPr>
          <w:rFonts w:ascii="Calibri" w:hAnsi="Calibri" w:cs="Calibri"/>
          <w:sz w:val="23"/>
          <w:szCs w:val="23"/>
        </w:rPr>
        <w:t xml:space="preserve">%), </w:t>
      </w:r>
      <w:r w:rsidR="00AE5618" w:rsidRPr="008166EF">
        <w:rPr>
          <w:rFonts w:ascii="Calibri" w:hAnsi="Calibri" w:cs="Calibri"/>
          <w:sz w:val="23"/>
          <w:szCs w:val="23"/>
        </w:rPr>
        <w:t xml:space="preserve">and </w:t>
      </w:r>
      <w:r w:rsidR="006F0AA2" w:rsidRPr="008166EF">
        <w:rPr>
          <w:rFonts w:ascii="Calibri" w:hAnsi="Calibri" w:cs="Calibri"/>
          <w:sz w:val="23"/>
          <w:szCs w:val="23"/>
        </w:rPr>
        <w:t>Capital Outlay</w:t>
      </w:r>
      <w:r w:rsidR="00AE5618" w:rsidRPr="008166EF">
        <w:rPr>
          <w:rFonts w:ascii="Calibri" w:hAnsi="Calibri" w:cs="Calibri"/>
          <w:sz w:val="23"/>
          <w:szCs w:val="23"/>
        </w:rPr>
        <w:t xml:space="preserve"> </w:t>
      </w:r>
      <w:r w:rsidR="006F0AA2" w:rsidRPr="008166EF">
        <w:rPr>
          <w:rFonts w:ascii="Calibri" w:hAnsi="Calibri" w:cs="Calibri"/>
          <w:sz w:val="23"/>
          <w:szCs w:val="23"/>
        </w:rPr>
        <w:t>(</w:t>
      </w:r>
      <w:r w:rsidR="00753F09" w:rsidRPr="008166EF">
        <w:rPr>
          <w:rFonts w:ascii="Calibri" w:hAnsi="Calibri" w:cs="Calibri"/>
          <w:sz w:val="23"/>
          <w:szCs w:val="23"/>
        </w:rPr>
        <w:t>0</w:t>
      </w:r>
      <w:r w:rsidR="00F84A03" w:rsidRPr="008166EF">
        <w:rPr>
          <w:rFonts w:ascii="Calibri" w:hAnsi="Calibri" w:cs="Calibri"/>
          <w:sz w:val="23"/>
          <w:szCs w:val="23"/>
        </w:rPr>
        <w:t>.2</w:t>
      </w:r>
      <w:r w:rsidR="00AE5618" w:rsidRPr="008166EF">
        <w:rPr>
          <w:rFonts w:ascii="Calibri" w:hAnsi="Calibri" w:cs="Calibri"/>
          <w:sz w:val="23"/>
          <w:szCs w:val="23"/>
        </w:rPr>
        <w:t xml:space="preserve">%). The remaining expenditures consist of transfers out of the General Fund </w:t>
      </w:r>
      <w:r w:rsidR="00207B92" w:rsidRPr="008166EF">
        <w:rPr>
          <w:rFonts w:ascii="Calibri" w:hAnsi="Calibri" w:cs="Calibri"/>
          <w:sz w:val="23"/>
          <w:szCs w:val="23"/>
        </w:rPr>
        <w:t xml:space="preserve">to fund debt service and other direct charges from other funds </w:t>
      </w:r>
      <w:r w:rsidR="00AE5618" w:rsidRPr="008166EF">
        <w:rPr>
          <w:rFonts w:ascii="Calibri" w:hAnsi="Calibri" w:cs="Calibri"/>
          <w:sz w:val="23"/>
          <w:szCs w:val="23"/>
        </w:rPr>
        <w:t>(13.6%)</w:t>
      </w:r>
      <w:r w:rsidR="00AE5618">
        <w:rPr>
          <w:rFonts w:ascii="Calibri" w:hAnsi="Calibri" w:cs="Calibri"/>
          <w:szCs w:val="22"/>
        </w:rPr>
        <w:t xml:space="preserve">. </w:t>
      </w:r>
    </w:p>
    <w:p w:rsidR="006F0AA2" w:rsidRPr="0082776C" w:rsidRDefault="006F0AA2" w:rsidP="006F0AA2">
      <w:pPr>
        <w:jc w:val="both"/>
        <w:rPr>
          <w:rFonts w:ascii="Calibri" w:hAnsi="Calibri" w:cs="Calibri"/>
          <w:sz w:val="20"/>
        </w:rPr>
      </w:pPr>
    </w:p>
    <w:p w:rsidR="00DD7362" w:rsidRDefault="00DD7362" w:rsidP="00207B92">
      <w:pPr>
        <w:ind w:right="-36"/>
        <w:jc w:val="both"/>
        <w:rPr>
          <w:rFonts w:ascii="Calibri" w:hAnsi="Calibri" w:cs="Calibri"/>
          <w:szCs w:val="22"/>
        </w:rPr>
      </w:pPr>
    </w:p>
    <w:p w:rsidR="00207B92" w:rsidRPr="008166EF" w:rsidRDefault="00207B92" w:rsidP="00207B92">
      <w:pPr>
        <w:ind w:right="-36"/>
        <w:jc w:val="both"/>
        <w:rPr>
          <w:rFonts w:ascii="Calibri" w:hAnsi="Calibri" w:cs="Calibri"/>
          <w:sz w:val="23"/>
          <w:szCs w:val="23"/>
        </w:rPr>
      </w:pPr>
      <w:r w:rsidRPr="008166EF">
        <w:rPr>
          <w:rFonts w:ascii="Calibri" w:hAnsi="Calibri" w:cs="Calibri"/>
          <w:sz w:val="23"/>
          <w:szCs w:val="23"/>
        </w:rPr>
        <w:lastRenderedPageBreak/>
        <w:t xml:space="preserve">A description of each expenditure category as well as a discussion and outlook over the next five years follows. </w:t>
      </w:r>
    </w:p>
    <w:p w:rsidR="00207B92" w:rsidRDefault="00207B92" w:rsidP="006F0AA2">
      <w:pPr>
        <w:keepNext/>
        <w:autoSpaceDE w:val="0"/>
        <w:jc w:val="center"/>
        <w:outlineLvl w:val="0"/>
        <w:rPr>
          <w:rFonts w:ascii="Calibri" w:hAnsi="Calibri" w:cs="Calibri"/>
          <w:b/>
          <w:bCs/>
          <w:sz w:val="24"/>
        </w:rPr>
        <w:sectPr w:rsidR="00207B92" w:rsidSect="00273E14">
          <w:headerReference w:type="default" r:id="rId10"/>
          <w:footerReference w:type="even" r:id="rId11"/>
          <w:footerReference w:type="default" r:id="rId12"/>
          <w:type w:val="continuous"/>
          <w:pgSz w:w="12240" w:h="15840"/>
          <w:pgMar w:top="1440" w:right="1296" w:bottom="907" w:left="1296" w:header="446" w:footer="706" w:gutter="0"/>
          <w:pgNumType w:fmt="lowerRoman" w:start="4"/>
          <w:cols w:num="2" w:space="720"/>
        </w:sectPr>
      </w:pPr>
    </w:p>
    <w:p w:rsidR="006F0AA2" w:rsidRPr="00C827A3" w:rsidRDefault="006F0AA2" w:rsidP="006F0AA2">
      <w:pPr>
        <w:keepNext/>
        <w:autoSpaceDE w:val="0"/>
        <w:jc w:val="center"/>
        <w:outlineLvl w:val="0"/>
        <w:rPr>
          <w:rFonts w:asciiTheme="minorHAnsi" w:hAnsiTheme="minorHAnsi" w:cstheme="minorHAnsi"/>
          <w:b/>
          <w:bCs/>
          <w:sz w:val="30"/>
          <w:szCs w:val="30"/>
        </w:rPr>
      </w:pPr>
      <w:r w:rsidRPr="00C827A3">
        <w:rPr>
          <w:rFonts w:asciiTheme="minorHAnsi" w:hAnsiTheme="minorHAnsi" w:cstheme="minorHAnsi"/>
          <w:b/>
          <w:bCs/>
          <w:sz w:val="30"/>
          <w:szCs w:val="30"/>
        </w:rPr>
        <w:lastRenderedPageBreak/>
        <w:t>Salaries &amp; Wages</w:t>
      </w:r>
    </w:p>
    <w:p w:rsidR="006F0AA2" w:rsidRPr="0082776C" w:rsidRDefault="006F0AA2" w:rsidP="006F0AA2">
      <w:pPr>
        <w:keepNext/>
        <w:autoSpaceDE w:val="0"/>
        <w:jc w:val="center"/>
        <w:outlineLvl w:val="0"/>
        <w:rPr>
          <w:rFonts w:ascii="Calibri" w:hAnsi="Calibri" w:cs="Calibri"/>
          <w:b/>
          <w:bCs/>
          <w:sz w:val="20"/>
        </w:rPr>
      </w:pPr>
    </w:p>
    <w:p w:rsidR="006F0AA2" w:rsidRPr="00305F6F" w:rsidRDefault="00207B92" w:rsidP="00737855">
      <w:pPr>
        <w:tabs>
          <w:tab w:val="left" w:pos="0"/>
          <w:tab w:val="decimal" w:pos="6030"/>
        </w:tabs>
        <w:ind w:right="-144"/>
        <w:jc w:val="both"/>
        <w:rPr>
          <w:rFonts w:ascii="Calibri" w:hAnsi="Calibri" w:cs="Calibri"/>
        </w:rPr>
      </w:pPr>
      <w:r w:rsidRPr="008166EF">
        <w:rPr>
          <w:rFonts w:asciiTheme="minorHAnsi" w:hAnsiTheme="minorHAnsi" w:cstheme="minorHAnsi"/>
          <w:b/>
          <w:bCs/>
          <w:noProof/>
          <w:sz w:val="23"/>
          <w:szCs w:val="23"/>
        </w:rPr>
        <w:drawing>
          <wp:anchor distT="0" distB="0" distL="114300" distR="114300" simplePos="0" relativeHeight="251694080" behindDoc="0" locked="0" layoutInCell="1" allowOverlap="1" wp14:anchorId="620F78EA" wp14:editId="069E974E">
            <wp:simplePos x="0" y="0"/>
            <wp:positionH relativeFrom="column">
              <wp:posOffset>-298450</wp:posOffset>
            </wp:positionH>
            <wp:positionV relativeFrom="paragraph">
              <wp:posOffset>207010</wp:posOffset>
            </wp:positionV>
            <wp:extent cx="4953000" cy="269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729"/>
                    <a:stretch/>
                  </pic:blipFill>
                  <pic:spPr bwMode="auto">
                    <a:xfrm>
                      <a:off x="0" y="0"/>
                      <a:ext cx="4953000" cy="2693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AA2" w:rsidRPr="008166EF">
        <w:rPr>
          <w:rFonts w:ascii="Calibri" w:hAnsi="Calibri" w:cs="Calibri"/>
          <w:sz w:val="23"/>
          <w:szCs w:val="23"/>
        </w:rPr>
        <w:t xml:space="preserve">This is the largest expenditure category and represents </w:t>
      </w:r>
      <w:r w:rsidR="00EF6C41" w:rsidRPr="008166EF">
        <w:rPr>
          <w:rFonts w:ascii="Calibri" w:hAnsi="Calibri" w:cs="Calibri"/>
          <w:sz w:val="23"/>
          <w:szCs w:val="23"/>
        </w:rPr>
        <w:t>46.2</w:t>
      </w:r>
      <w:r w:rsidR="006F0AA2" w:rsidRPr="008166EF">
        <w:rPr>
          <w:rFonts w:ascii="Calibri" w:hAnsi="Calibri" w:cs="Calibri"/>
          <w:sz w:val="23"/>
          <w:szCs w:val="23"/>
        </w:rPr>
        <w:t>% of all General Fund expenditures, ex</w:t>
      </w:r>
      <w:r w:rsidR="00737855" w:rsidRPr="008166EF">
        <w:rPr>
          <w:rFonts w:ascii="Calibri" w:hAnsi="Calibri" w:cs="Calibri"/>
          <w:sz w:val="23"/>
          <w:szCs w:val="23"/>
        </w:rPr>
        <w:t xml:space="preserve">cluding balances and reserves. </w:t>
      </w:r>
      <w:r w:rsidR="009D621C" w:rsidRPr="008166EF">
        <w:rPr>
          <w:rFonts w:ascii="Calibri" w:hAnsi="Calibri" w:cs="Calibri"/>
          <w:sz w:val="23"/>
          <w:szCs w:val="23"/>
        </w:rPr>
        <w:t xml:space="preserve">The major expenses in this category include the following: salaries, other wages, overtime, and longevity. </w:t>
      </w:r>
      <w:r w:rsidR="006F0AA2" w:rsidRPr="008166EF">
        <w:rPr>
          <w:rFonts w:ascii="Calibri" w:hAnsi="Calibri" w:cs="Calibri"/>
          <w:sz w:val="23"/>
          <w:szCs w:val="23"/>
        </w:rPr>
        <w:t xml:space="preserve">The </w:t>
      </w:r>
      <w:r w:rsidR="00925552" w:rsidRPr="008166EF">
        <w:rPr>
          <w:rFonts w:ascii="Calibri" w:hAnsi="Calibri" w:cs="Calibri"/>
          <w:sz w:val="23"/>
          <w:szCs w:val="23"/>
        </w:rPr>
        <w:t>proposed</w:t>
      </w:r>
      <w:r w:rsidR="006F0AA2" w:rsidRPr="008166EF">
        <w:rPr>
          <w:rFonts w:ascii="Calibri" w:hAnsi="Calibri" w:cs="Calibri"/>
          <w:sz w:val="23"/>
          <w:szCs w:val="23"/>
        </w:rPr>
        <w:t xml:space="preserve"> expenditure for FY </w:t>
      </w:r>
      <w:r w:rsidR="00925552" w:rsidRPr="008166EF">
        <w:rPr>
          <w:rFonts w:ascii="Calibri" w:hAnsi="Calibri" w:cs="Calibri"/>
          <w:sz w:val="23"/>
          <w:szCs w:val="23"/>
        </w:rPr>
        <w:t>2015</w:t>
      </w:r>
      <w:r w:rsidR="006F0AA2" w:rsidRPr="008166EF">
        <w:rPr>
          <w:rFonts w:ascii="Calibri" w:hAnsi="Calibri" w:cs="Calibri"/>
          <w:sz w:val="23"/>
          <w:szCs w:val="23"/>
        </w:rPr>
        <w:t xml:space="preserve"> is $</w:t>
      </w:r>
      <w:r w:rsidR="00EF6C41" w:rsidRPr="008166EF">
        <w:rPr>
          <w:rFonts w:ascii="Calibri" w:hAnsi="Calibri" w:cs="Calibri"/>
          <w:sz w:val="23"/>
          <w:szCs w:val="23"/>
        </w:rPr>
        <w:t>135,323,295</w:t>
      </w:r>
      <w:r w:rsidR="006F0AA2" w:rsidRPr="008166EF">
        <w:rPr>
          <w:rFonts w:ascii="Calibri" w:hAnsi="Calibri" w:cs="Calibri"/>
          <w:sz w:val="23"/>
          <w:szCs w:val="23"/>
        </w:rPr>
        <w:t xml:space="preserve">, which represents a </w:t>
      </w:r>
      <w:r w:rsidR="00EF6C41" w:rsidRPr="008166EF">
        <w:rPr>
          <w:rFonts w:ascii="Calibri" w:hAnsi="Calibri" w:cs="Calibri"/>
          <w:sz w:val="23"/>
          <w:szCs w:val="23"/>
        </w:rPr>
        <w:t>3.5</w:t>
      </w:r>
      <w:r w:rsidR="006F0AA2" w:rsidRPr="008166EF">
        <w:rPr>
          <w:rFonts w:ascii="Calibri" w:hAnsi="Calibri" w:cs="Calibri"/>
          <w:sz w:val="23"/>
          <w:szCs w:val="23"/>
        </w:rPr>
        <w:t xml:space="preserve">% </w:t>
      </w:r>
      <w:r w:rsidR="00AA2409" w:rsidRPr="008166EF">
        <w:rPr>
          <w:rFonts w:ascii="Calibri" w:hAnsi="Calibri" w:cs="Calibri"/>
          <w:sz w:val="23"/>
          <w:szCs w:val="23"/>
        </w:rPr>
        <w:t>increase</w:t>
      </w:r>
      <w:r w:rsidR="006F0AA2" w:rsidRPr="008166EF">
        <w:rPr>
          <w:rFonts w:ascii="Calibri" w:hAnsi="Calibri" w:cs="Calibri"/>
          <w:sz w:val="23"/>
          <w:szCs w:val="23"/>
        </w:rPr>
        <w:t xml:space="preserve"> from the FY </w:t>
      </w:r>
      <w:r w:rsidR="00925552" w:rsidRPr="008166EF">
        <w:rPr>
          <w:rFonts w:ascii="Calibri" w:hAnsi="Calibri" w:cs="Calibri"/>
          <w:sz w:val="23"/>
          <w:szCs w:val="23"/>
        </w:rPr>
        <w:t>2014</w:t>
      </w:r>
      <w:r w:rsidR="00E41836" w:rsidRPr="008166EF">
        <w:rPr>
          <w:rFonts w:ascii="Calibri" w:hAnsi="Calibri" w:cs="Calibri"/>
          <w:sz w:val="23"/>
          <w:szCs w:val="23"/>
        </w:rPr>
        <w:t xml:space="preserve"> amended budge</w:t>
      </w:r>
      <w:r w:rsidR="00737855" w:rsidRPr="008166EF">
        <w:rPr>
          <w:rFonts w:ascii="Calibri" w:hAnsi="Calibri" w:cs="Calibri"/>
          <w:sz w:val="23"/>
          <w:szCs w:val="23"/>
        </w:rPr>
        <w:t>t</w:t>
      </w:r>
      <w:r w:rsidRPr="008166EF">
        <w:rPr>
          <w:rFonts w:ascii="Calibri" w:hAnsi="Calibri" w:cs="Calibri"/>
          <w:sz w:val="23"/>
          <w:szCs w:val="23"/>
        </w:rPr>
        <w:t xml:space="preserve"> and includes all contractually obligated wage increases.</w:t>
      </w:r>
    </w:p>
    <w:p w:rsidR="00C827A3" w:rsidRDefault="00C827A3" w:rsidP="001B5FB7">
      <w:pPr>
        <w:keepNext/>
        <w:autoSpaceDE w:val="0"/>
        <w:outlineLvl w:val="0"/>
        <w:rPr>
          <w:rFonts w:asciiTheme="minorHAnsi" w:hAnsiTheme="minorHAnsi" w:cstheme="minorHAnsi"/>
          <w:b/>
          <w:bCs/>
          <w:sz w:val="30"/>
          <w:szCs w:val="30"/>
        </w:rPr>
      </w:pPr>
    </w:p>
    <w:p w:rsidR="00240E3E" w:rsidRDefault="00240E3E" w:rsidP="00240E3E">
      <w:pPr>
        <w:keepNext/>
        <w:autoSpaceDE w:val="0"/>
        <w:jc w:val="center"/>
        <w:outlineLvl w:val="0"/>
        <w:rPr>
          <w:rFonts w:asciiTheme="minorHAnsi" w:hAnsiTheme="minorHAnsi" w:cstheme="minorHAnsi"/>
          <w:b/>
          <w:bCs/>
          <w:sz w:val="30"/>
          <w:szCs w:val="30"/>
        </w:rPr>
      </w:pPr>
    </w:p>
    <w:p w:rsidR="00DD7362" w:rsidRDefault="009451A3" w:rsidP="00240E3E">
      <w:pPr>
        <w:keepNext/>
        <w:autoSpaceDE w:val="0"/>
        <w:jc w:val="center"/>
        <w:outlineLvl w:val="0"/>
        <w:rPr>
          <w:rFonts w:asciiTheme="minorHAnsi" w:hAnsiTheme="minorHAnsi" w:cstheme="minorHAnsi"/>
          <w:b/>
          <w:bCs/>
          <w:sz w:val="30"/>
          <w:szCs w:val="30"/>
        </w:rPr>
      </w:pPr>
      <w:r>
        <w:rPr>
          <w:rFonts w:asciiTheme="minorHAnsi" w:hAnsiTheme="minorHAnsi" w:cstheme="minorHAnsi"/>
          <w:b/>
          <w:bCs/>
          <w:sz w:val="30"/>
          <w:szCs w:val="30"/>
        </w:rPr>
        <w:t>F</w:t>
      </w:r>
      <w:r w:rsidR="006F0AA2" w:rsidRPr="00C827A3">
        <w:rPr>
          <w:rFonts w:asciiTheme="minorHAnsi" w:hAnsiTheme="minorHAnsi" w:cstheme="minorHAnsi"/>
          <w:b/>
          <w:bCs/>
          <w:sz w:val="30"/>
          <w:szCs w:val="30"/>
        </w:rPr>
        <w:t xml:space="preserve">ringe </w:t>
      </w:r>
      <w:r w:rsidR="001B5FB7" w:rsidRPr="00C827A3">
        <w:rPr>
          <w:rFonts w:asciiTheme="minorHAnsi" w:hAnsiTheme="minorHAnsi" w:cstheme="minorHAnsi"/>
          <w:b/>
          <w:bCs/>
          <w:sz w:val="30"/>
          <w:szCs w:val="30"/>
        </w:rPr>
        <w:t>B</w:t>
      </w:r>
      <w:r w:rsidR="006F0AA2" w:rsidRPr="00C827A3">
        <w:rPr>
          <w:rFonts w:asciiTheme="minorHAnsi" w:hAnsiTheme="minorHAnsi" w:cstheme="minorHAnsi"/>
          <w:b/>
          <w:bCs/>
          <w:sz w:val="30"/>
          <w:szCs w:val="30"/>
        </w:rPr>
        <w:t>enefits</w:t>
      </w:r>
    </w:p>
    <w:p w:rsidR="00D36964" w:rsidRPr="00C827A3" w:rsidRDefault="00D36964" w:rsidP="00D36964">
      <w:pPr>
        <w:keepNext/>
        <w:autoSpaceDE w:val="0"/>
        <w:outlineLvl w:val="0"/>
        <w:rPr>
          <w:rFonts w:asciiTheme="minorHAnsi" w:hAnsiTheme="minorHAnsi" w:cstheme="minorHAnsi"/>
          <w:b/>
          <w:bCs/>
          <w:sz w:val="30"/>
          <w:szCs w:val="30"/>
        </w:rPr>
      </w:pPr>
    </w:p>
    <w:p w:rsidR="006F0AA2" w:rsidRPr="008166EF" w:rsidRDefault="00240E3E" w:rsidP="006F0AA2">
      <w:pPr>
        <w:keepNext/>
        <w:autoSpaceDE w:val="0"/>
        <w:jc w:val="both"/>
        <w:outlineLvl w:val="0"/>
        <w:rPr>
          <w:rFonts w:ascii="Calibri" w:hAnsi="Calibri" w:cs="Calibri"/>
          <w:bCs/>
          <w:sz w:val="23"/>
          <w:szCs w:val="23"/>
        </w:rPr>
      </w:pPr>
      <w:r>
        <w:rPr>
          <w:rFonts w:asciiTheme="minorHAnsi" w:hAnsiTheme="minorHAnsi" w:cstheme="minorHAnsi"/>
          <w:b/>
          <w:bCs/>
          <w:noProof/>
          <w:sz w:val="30"/>
          <w:szCs w:val="30"/>
        </w:rPr>
        <w:drawing>
          <wp:anchor distT="0" distB="0" distL="114300" distR="114300" simplePos="0" relativeHeight="251700224" behindDoc="0" locked="0" layoutInCell="1" allowOverlap="1" wp14:anchorId="4B08E8FA" wp14:editId="2FDE93B7">
            <wp:simplePos x="0" y="0"/>
            <wp:positionH relativeFrom="column">
              <wp:posOffset>1920240</wp:posOffset>
            </wp:positionH>
            <wp:positionV relativeFrom="paragraph">
              <wp:posOffset>685800</wp:posOffset>
            </wp:positionV>
            <wp:extent cx="4521200" cy="2395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54" t="9731" b="4991"/>
                    <a:stretch/>
                  </pic:blipFill>
                  <pic:spPr bwMode="auto">
                    <a:xfrm>
                      <a:off x="0" y="0"/>
                      <a:ext cx="4521200" cy="2395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AA2" w:rsidRPr="008166EF">
        <w:rPr>
          <w:rFonts w:ascii="Calibri" w:hAnsi="Calibri" w:cs="Calibri"/>
          <w:bCs/>
          <w:sz w:val="23"/>
          <w:szCs w:val="23"/>
        </w:rPr>
        <w:t xml:space="preserve">This expenditure category includes pension, social security, health </w:t>
      </w:r>
      <w:r w:rsidR="009451A3" w:rsidRPr="008166EF">
        <w:rPr>
          <w:rFonts w:ascii="Calibri" w:hAnsi="Calibri" w:cs="Calibri"/>
          <w:bCs/>
          <w:sz w:val="23"/>
          <w:szCs w:val="23"/>
        </w:rPr>
        <w:t xml:space="preserve">care, and retiree health care. </w:t>
      </w:r>
      <w:r w:rsidR="006F0AA2" w:rsidRPr="008166EF">
        <w:rPr>
          <w:rFonts w:ascii="Calibri" w:hAnsi="Calibri" w:cs="Calibri"/>
          <w:bCs/>
          <w:sz w:val="23"/>
          <w:szCs w:val="23"/>
        </w:rPr>
        <w:t xml:space="preserve">The </w:t>
      </w:r>
      <w:r w:rsidR="00925552" w:rsidRPr="008166EF">
        <w:rPr>
          <w:rFonts w:ascii="Calibri" w:hAnsi="Calibri" w:cs="Calibri"/>
          <w:bCs/>
          <w:sz w:val="23"/>
          <w:szCs w:val="23"/>
        </w:rPr>
        <w:t>proposed</w:t>
      </w:r>
      <w:r w:rsidR="006F0AA2" w:rsidRPr="008166EF">
        <w:rPr>
          <w:rFonts w:ascii="Calibri" w:hAnsi="Calibri" w:cs="Calibri"/>
          <w:bCs/>
          <w:sz w:val="23"/>
          <w:szCs w:val="23"/>
        </w:rPr>
        <w:t xml:space="preserve"> </w:t>
      </w:r>
      <w:r w:rsidR="00DD7362" w:rsidRPr="008166EF">
        <w:rPr>
          <w:rFonts w:ascii="Calibri" w:hAnsi="Calibri" w:cs="Calibri"/>
          <w:bCs/>
          <w:sz w:val="23"/>
          <w:szCs w:val="23"/>
        </w:rPr>
        <w:t>budget</w:t>
      </w:r>
      <w:r w:rsidR="006F0AA2" w:rsidRPr="008166EF">
        <w:rPr>
          <w:rFonts w:ascii="Calibri" w:hAnsi="Calibri" w:cs="Calibri"/>
          <w:bCs/>
          <w:sz w:val="23"/>
          <w:szCs w:val="23"/>
        </w:rPr>
        <w:t xml:space="preserve"> for FY </w:t>
      </w:r>
      <w:r w:rsidR="00925552" w:rsidRPr="008166EF">
        <w:rPr>
          <w:rFonts w:ascii="Calibri" w:hAnsi="Calibri" w:cs="Calibri"/>
          <w:bCs/>
          <w:sz w:val="23"/>
          <w:szCs w:val="23"/>
        </w:rPr>
        <w:t>2015</w:t>
      </w:r>
      <w:r w:rsidR="006F0AA2" w:rsidRPr="008166EF">
        <w:rPr>
          <w:rFonts w:ascii="Calibri" w:hAnsi="Calibri" w:cs="Calibri"/>
          <w:bCs/>
          <w:sz w:val="23"/>
          <w:szCs w:val="23"/>
        </w:rPr>
        <w:t xml:space="preserve"> </w:t>
      </w:r>
      <w:r w:rsidR="00DD7362" w:rsidRPr="008166EF">
        <w:rPr>
          <w:rFonts w:ascii="Calibri" w:hAnsi="Calibri" w:cs="Calibri"/>
          <w:bCs/>
          <w:sz w:val="23"/>
          <w:szCs w:val="23"/>
        </w:rPr>
        <w:t>is</w:t>
      </w:r>
      <w:r w:rsidR="006F0AA2" w:rsidRPr="008166EF">
        <w:rPr>
          <w:rFonts w:ascii="Calibri" w:hAnsi="Calibri" w:cs="Calibri"/>
          <w:bCs/>
          <w:sz w:val="23"/>
          <w:szCs w:val="23"/>
        </w:rPr>
        <w:t xml:space="preserve"> $</w:t>
      </w:r>
      <w:r w:rsidR="00EF6C41" w:rsidRPr="008166EF">
        <w:rPr>
          <w:rFonts w:ascii="Calibri" w:hAnsi="Calibri" w:cs="Calibri"/>
          <w:bCs/>
          <w:sz w:val="23"/>
          <w:szCs w:val="23"/>
        </w:rPr>
        <w:t>51,406,739</w:t>
      </w:r>
      <w:r w:rsidR="006F0AA2" w:rsidRPr="008166EF">
        <w:rPr>
          <w:rFonts w:ascii="Calibri" w:hAnsi="Calibri" w:cs="Calibri"/>
          <w:bCs/>
          <w:sz w:val="23"/>
          <w:szCs w:val="23"/>
        </w:rPr>
        <w:t xml:space="preserve">, which represents a </w:t>
      </w:r>
      <w:r w:rsidR="00EF6C41" w:rsidRPr="008166EF">
        <w:rPr>
          <w:rFonts w:ascii="Calibri" w:hAnsi="Calibri" w:cs="Calibri"/>
          <w:bCs/>
          <w:sz w:val="23"/>
          <w:szCs w:val="23"/>
        </w:rPr>
        <w:t>1.9</w:t>
      </w:r>
      <w:r w:rsidR="006F0AA2" w:rsidRPr="008166EF">
        <w:rPr>
          <w:rFonts w:ascii="Calibri" w:hAnsi="Calibri" w:cs="Calibri"/>
          <w:bCs/>
          <w:sz w:val="23"/>
          <w:szCs w:val="23"/>
        </w:rPr>
        <w:t xml:space="preserve">% </w:t>
      </w:r>
      <w:r w:rsidR="00E41836" w:rsidRPr="008166EF">
        <w:rPr>
          <w:rFonts w:ascii="Calibri" w:hAnsi="Calibri" w:cs="Calibri"/>
          <w:bCs/>
          <w:sz w:val="23"/>
          <w:szCs w:val="23"/>
        </w:rPr>
        <w:t>increase</w:t>
      </w:r>
      <w:r w:rsidR="006F0AA2" w:rsidRPr="008166EF">
        <w:rPr>
          <w:rFonts w:ascii="Calibri" w:hAnsi="Calibri" w:cs="Calibri"/>
          <w:bCs/>
          <w:sz w:val="23"/>
          <w:szCs w:val="23"/>
        </w:rPr>
        <w:t xml:space="preserve"> from the FY </w:t>
      </w:r>
      <w:r w:rsidR="00925552" w:rsidRPr="008166EF">
        <w:rPr>
          <w:rFonts w:ascii="Calibri" w:hAnsi="Calibri" w:cs="Calibri"/>
          <w:bCs/>
          <w:sz w:val="23"/>
          <w:szCs w:val="23"/>
        </w:rPr>
        <w:t>2014</w:t>
      </w:r>
      <w:r w:rsidR="00E41836" w:rsidRPr="008166EF">
        <w:rPr>
          <w:rFonts w:ascii="Calibri" w:hAnsi="Calibri" w:cs="Calibri"/>
          <w:bCs/>
          <w:sz w:val="23"/>
          <w:szCs w:val="23"/>
        </w:rPr>
        <w:t xml:space="preserve"> amended budget, primarily due to insurance premiums</w:t>
      </w:r>
      <w:r w:rsidR="00857859" w:rsidRPr="008166EF">
        <w:rPr>
          <w:rFonts w:ascii="Calibri" w:hAnsi="Calibri" w:cs="Calibri"/>
          <w:bCs/>
          <w:sz w:val="23"/>
          <w:szCs w:val="23"/>
        </w:rPr>
        <w:t xml:space="preserve"> </w:t>
      </w:r>
      <w:r w:rsidR="00EF6C41" w:rsidRPr="008166EF">
        <w:rPr>
          <w:rFonts w:ascii="Calibri" w:hAnsi="Calibri" w:cs="Calibri"/>
          <w:bCs/>
          <w:sz w:val="23"/>
          <w:szCs w:val="23"/>
        </w:rPr>
        <w:t xml:space="preserve">and </w:t>
      </w:r>
      <w:r w:rsidR="00857859" w:rsidRPr="008166EF">
        <w:rPr>
          <w:rFonts w:ascii="Calibri" w:hAnsi="Calibri" w:cs="Calibri"/>
          <w:bCs/>
          <w:sz w:val="23"/>
          <w:szCs w:val="23"/>
        </w:rPr>
        <w:t>contributions towards pensions</w:t>
      </w:r>
      <w:r w:rsidR="00E41836" w:rsidRPr="008166EF">
        <w:rPr>
          <w:rFonts w:ascii="Calibri" w:hAnsi="Calibri" w:cs="Calibri"/>
          <w:bCs/>
          <w:sz w:val="23"/>
          <w:szCs w:val="23"/>
        </w:rPr>
        <w:t xml:space="preserve">. </w:t>
      </w:r>
      <w:r w:rsidR="006F0AA2" w:rsidRPr="008166EF">
        <w:rPr>
          <w:rFonts w:ascii="Calibri" w:hAnsi="Calibri" w:cs="Calibri"/>
          <w:bCs/>
          <w:sz w:val="23"/>
          <w:szCs w:val="23"/>
        </w:rPr>
        <w:t xml:space="preserve">The projection includes a </w:t>
      </w:r>
      <w:r w:rsidR="00F15A5F" w:rsidRPr="008166EF">
        <w:rPr>
          <w:rFonts w:ascii="Calibri" w:hAnsi="Calibri" w:cs="Calibri"/>
          <w:bCs/>
          <w:sz w:val="23"/>
          <w:szCs w:val="23"/>
        </w:rPr>
        <w:t>2.5</w:t>
      </w:r>
      <w:r w:rsidR="006F0AA2" w:rsidRPr="008166EF">
        <w:rPr>
          <w:rFonts w:ascii="Calibri" w:hAnsi="Calibri" w:cs="Calibri"/>
          <w:bCs/>
          <w:sz w:val="23"/>
          <w:szCs w:val="23"/>
        </w:rPr>
        <w:t xml:space="preserve">% annual increase over the </w:t>
      </w:r>
      <w:r w:rsidR="00F15A5F" w:rsidRPr="008166EF">
        <w:rPr>
          <w:rFonts w:ascii="Calibri" w:hAnsi="Calibri" w:cs="Calibri"/>
          <w:bCs/>
          <w:sz w:val="23"/>
          <w:szCs w:val="23"/>
        </w:rPr>
        <w:t xml:space="preserve">next </w:t>
      </w:r>
      <w:r w:rsidR="006F0AA2" w:rsidRPr="008166EF">
        <w:rPr>
          <w:rFonts w:ascii="Calibri" w:hAnsi="Calibri" w:cs="Calibri"/>
          <w:bCs/>
          <w:sz w:val="23"/>
          <w:szCs w:val="23"/>
        </w:rPr>
        <w:t>five years</w:t>
      </w:r>
      <w:r w:rsidR="00F15A5F" w:rsidRPr="008166EF">
        <w:rPr>
          <w:rFonts w:ascii="Calibri" w:hAnsi="Calibri" w:cs="Calibri"/>
          <w:bCs/>
          <w:sz w:val="23"/>
          <w:szCs w:val="23"/>
        </w:rPr>
        <w:t>.</w:t>
      </w:r>
      <w:r w:rsidR="006F0AA2" w:rsidRPr="008166EF">
        <w:rPr>
          <w:rFonts w:ascii="Calibri" w:hAnsi="Calibri" w:cs="Calibri"/>
          <w:bCs/>
          <w:sz w:val="23"/>
          <w:szCs w:val="23"/>
        </w:rPr>
        <w:t xml:space="preserve">  </w:t>
      </w:r>
      <w:r w:rsidR="00DD7362" w:rsidRPr="008166EF">
        <w:rPr>
          <w:rFonts w:ascii="Calibri" w:hAnsi="Calibri" w:cs="Calibri"/>
          <w:bCs/>
          <w:sz w:val="23"/>
          <w:szCs w:val="23"/>
        </w:rPr>
        <w:t>The steep decline from FY 2012 to FY 2013 is due to the issuance of Pension Obligation Bonds to fund the unfunded liability portion of our annual contribution to our General Employees Retirement System (GERS) and Police and Fire pensions.</w:t>
      </w:r>
    </w:p>
    <w:p w:rsidR="008166EF" w:rsidRDefault="008166EF" w:rsidP="008166EF">
      <w:pPr>
        <w:keepNext/>
        <w:autoSpaceDE w:val="0"/>
        <w:outlineLvl w:val="0"/>
        <w:rPr>
          <w:rFonts w:asciiTheme="minorHAnsi" w:hAnsiTheme="minorHAnsi" w:cstheme="minorHAnsi"/>
          <w:b/>
          <w:bCs/>
          <w:sz w:val="30"/>
          <w:szCs w:val="30"/>
        </w:rPr>
      </w:pPr>
      <w:bookmarkStart w:id="3" w:name="OLE_LINK7"/>
      <w:bookmarkEnd w:id="0"/>
    </w:p>
    <w:p w:rsidR="00240E3E" w:rsidRDefault="00240E3E" w:rsidP="008166EF">
      <w:pPr>
        <w:keepNext/>
        <w:autoSpaceDE w:val="0"/>
        <w:jc w:val="center"/>
        <w:outlineLvl w:val="0"/>
        <w:rPr>
          <w:rFonts w:asciiTheme="minorHAnsi" w:hAnsiTheme="minorHAnsi" w:cstheme="minorHAnsi"/>
          <w:b/>
          <w:bCs/>
          <w:sz w:val="30"/>
          <w:szCs w:val="30"/>
        </w:rPr>
      </w:pPr>
    </w:p>
    <w:p w:rsidR="00240E3E" w:rsidRDefault="00240E3E" w:rsidP="008166EF">
      <w:pPr>
        <w:keepNext/>
        <w:autoSpaceDE w:val="0"/>
        <w:jc w:val="center"/>
        <w:outlineLvl w:val="0"/>
        <w:rPr>
          <w:rFonts w:asciiTheme="minorHAnsi" w:hAnsiTheme="minorHAnsi" w:cstheme="minorHAnsi"/>
          <w:b/>
          <w:bCs/>
          <w:sz w:val="30"/>
          <w:szCs w:val="30"/>
        </w:rPr>
      </w:pPr>
    </w:p>
    <w:p w:rsidR="006F0AA2" w:rsidRPr="00C827A3" w:rsidRDefault="006F0AA2" w:rsidP="008166EF">
      <w:pPr>
        <w:keepNext/>
        <w:autoSpaceDE w:val="0"/>
        <w:jc w:val="center"/>
        <w:outlineLvl w:val="0"/>
        <w:rPr>
          <w:rFonts w:asciiTheme="minorHAnsi" w:hAnsiTheme="minorHAnsi" w:cstheme="minorHAnsi"/>
          <w:b/>
          <w:bCs/>
          <w:sz w:val="30"/>
          <w:szCs w:val="30"/>
        </w:rPr>
      </w:pPr>
      <w:r w:rsidRPr="00C827A3">
        <w:rPr>
          <w:rFonts w:asciiTheme="minorHAnsi" w:hAnsiTheme="minorHAnsi" w:cstheme="minorHAnsi"/>
          <w:b/>
          <w:bCs/>
          <w:sz w:val="30"/>
          <w:szCs w:val="30"/>
        </w:rPr>
        <w:t>Services &amp; Materials</w:t>
      </w:r>
    </w:p>
    <w:p w:rsidR="006F0AA2" w:rsidRPr="0082776C" w:rsidRDefault="006F0AA2" w:rsidP="006F0AA2">
      <w:pPr>
        <w:keepNext/>
        <w:tabs>
          <w:tab w:val="left" w:pos="5304"/>
        </w:tabs>
        <w:autoSpaceDE w:val="0"/>
        <w:outlineLvl w:val="0"/>
        <w:rPr>
          <w:rFonts w:ascii="Calibri" w:hAnsi="Calibri" w:cs="Calibri"/>
          <w:b/>
          <w:bCs/>
          <w:sz w:val="20"/>
        </w:rPr>
      </w:pPr>
      <w:r w:rsidRPr="0082776C">
        <w:rPr>
          <w:rFonts w:ascii="Calibri" w:hAnsi="Calibri" w:cs="Calibri"/>
          <w:b/>
          <w:bCs/>
          <w:sz w:val="20"/>
        </w:rPr>
        <w:tab/>
      </w:r>
    </w:p>
    <w:p w:rsidR="006F0AA2" w:rsidRPr="008166EF" w:rsidRDefault="00E949CB" w:rsidP="00FC4FE3">
      <w:pPr>
        <w:pStyle w:val="BodyText3"/>
        <w:jc w:val="both"/>
        <w:rPr>
          <w:rFonts w:ascii="Calibri" w:hAnsi="Calibri" w:cs="Calibri"/>
          <w:bCs/>
          <w:sz w:val="23"/>
          <w:szCs w:val="23"/>
          <w:lang w:val="en-US"/>
        </w:rPr>
      </w:pPr>
      <w:r w:rsidRPr="008166EF">
        <w:rPr>
          <w:rFonts w:ascii="Calibri" w:hAnsi="Calibri" w:cs="Calibri"/>
          <w:bCs/>
          <w:noProof/>
          <w:sz w:val="23"/>
          <w:szCs w:val="23"/>
          <w:lang w:val="en-US" w:eastAsia="en-US"/>
        </w:rPr>
        <w:drawing>
          <wp:anchor distT="0" distB="0" distL="114300" distR="114300" simplePos="0" relativeHeight="251696128" behindDoc="0" locked="0" layoutInCell="1" allowOverlap="1" wp14:anchorId="56BBD931" wp14:editId="7F881C97">
            <wp:simplePos x="0" y="0"/>
            <wp:positionH relativeFrom="column">
              <wp:posOffset>-594360</wp:posOffset>
            </wp:positionH>
            <wp:positionV relativeFrom="paragraph">
              <wp:posOffset>323215</wp:posOffset>
            </wp:positionV>
            <wp:extent cx="5222875" cy="2785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428"/>
                    <a:stretch/>
                  </pic:blipFill>
                  <pic:spPr bwMode="auto">
                    <a:xfrm>
                      <a:off x="0" y="0"/>
                      <a:ext cx="5222875" cy="278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AA2" w:rsidRPr="008166EF">
        <w:rPr>
          <w:rFonts w:ascii="Calibri" w:hAnsi="Calibri" w:cs="Calibri"/>
          <w:bCs/>
          <w:sz w:val="23"/>
          <w:szCs w:val="23"/>
        </w:rPr>
        <w:t xml:space="preserve">This </w:t>
      </w:r>
      <w:r w:rsidR="006F0AA2" w:rsidRPr="008166EF">
        <w:rPr>
          <w:rFonts w:ascii="Calibri" w:hAnsi="Calibri" w:cs="Calibri"/>
          <w:bCs/>
          <w:sz w:val="23"/>
          <w:szCs w:val="23"/>
          <w:lang w:val="en-US"/>
        </w:rPr>
        <w:t xml:space="preserve">expenditure </w:t>
      </w:r>
      <w:r w:rsidR="006F0AA2" w:rsidRPr="008166EF">
        <w:rPr>
          <w:rFonts w:ascii="Calibri" w:hAnsi="Calibri" w:cs="Calibri"/>
          <w:bCs/>
          <w:sz w:val="23"/>
          <w:szCs w:val="23"/>
        </w:rPr>
        <w:t xml:space="preserve">category includes </w:t>
      </w:r>
      <w:r w:rsidR="006F0AA2" w:rsidRPr="008166EF">
        <w:rPr>
          <w:rFonts w:ascii="Calibri" w:hAnsi="Calibri" w:cs="Calibri"/>
          <w:bCs/>
          <w:sz w:val="23"/>
          <w:szCs w:val="23"/>
          <w:lang w:val="en-US"/>
        </w:rPr>
        <w:t xml:space="preserve">electricity, gasoline, supplies, equipment, other services, and other utilities.  The </w:t>
      </w:r>
      <w:r w:rsidR="00925552" w:rsidRPr="008166EF">
        <w:rPr>
          <w:rFonts w:ascii="Calibri" w:hAnsi="Calibri" w:cs="Calibri"/>
          <w:bCs/>
          <w:sz w:val="23"/>
          <w:szCs w:val="23"/>
          <w:lang w:val="en-US"/>
        </w:rPr>
        <w:t>proposed</w:t>
      </w:r>
      <w:r w:rsidR="006F0AA2" w:rsidRPr="008166EF">
        <w:rPr>
          <w:rFonts w:ascii="Calibri" w:hAnsi="Calibri" w:cs="Calibri"/>
          <w:bCs/>
          <w:sz w:val="23"/>
          <w:szCs w:val="23"/>
          <w:lang w:val="en-US"/>
        </w:rPr>
        <w:t xml:space="preserve"> budget for FY </w:t>
      </w:r>
      <w:r w:rsidR="00925552" w:rsidRPr="008166EF">
        <w:rPr>
          <w:rFonts w:ascii="Calibri" w:hAnsi="Calibri" w:cs="Calibri"/>
          <w:bCs/>
          <w:sz w:val="23"/>
          <w:szCs w:val="23"/>
          <w:lang w:val="en-US"/>
        </w:rPr>
        <w:t>2015</w:t>
      </w:r>
      <w:r w:rsidR="006F0AA2" w:rsidRPr="008166EF">
        <w:rPr>
          <w:rFonts w:ascii="Calibri" w:hAnsi="Calibri" w:cs="Calibri"/>
          <w:bCs/>
          <w:sz w:val="23"/>
          <w:szCs w:val="23"/>
          <w:lang w:val="en-US"/>
        </w:rPr>
        <w:t xml:space="preserve"> is $</w:t>
      </w:r>
      <w:r w:rsidR="00E82BDE" w:rsidRPr="008166EF">
        <w:rPr>
          <w:rFonts w:ascii="Calibri" w:hAnsi="Calibri" w:cs="Calibri"/>
          <w:bCs/>
          <w:sz w:val="23"/>
          <w:szCs w:val="23"/>
          <w:lang w:val="en-US"/>
        </w:rPr>
        <w:t>31,325,192</w:t>
      </w:r>
      <w:r w:rsidR="006F0AA2" w:rsidRPr="008166EF">
        <w:rPr>
          <w:rFonts w:ascii="Calibri" w:hAnsi="Calibri" w:cs="Calibri"/>
          <w:bCs/>
          <w:sz w:val="23"/>
          <w:szCs w:val="23"/>
          <w:lang w:val="en-US"/>
        </w:rPr>
        <w:t xml:space="preserve">, which represents a </w:t>
      </w:r>
      <w:r w:rsidR="006A59FD" w:rsidRPr="008166EF">
        <w:rPr>
          <w:rFonts w:ascii="Calibri" w:hAnsi="Calibri" w:cs="Calibri"/>
          <w:bCs/>
          <w:sz w:val="23"/>
          <w:szCs w:val="23"/>
          <w:lang w:val="en-US"/>
        </w:rPr>
        <w:t>5.6</w:t>
      </w:r>
      <w:r w:rsidR="006F0AA2" w:rsidRPr="008166EF">
        <w:rPr>
          <w:rFonts w:ascii="Calibri" w:hAnsi="Calibri" w:cs="Calibri"/>
          <w:bCs/>
          <w:sz w:val="23"/>
          <w:szCs w:val="23"/>
          <w:lang w:val="en-US"/>
        </w:rPr>
        <w:t xml:space="preserve">% decrease from the FY </w:t>
      </w:r>
      <w:r w:rsidR="00925552" w:rsidRPr="008166EF">
        <w:rPr>
          <w:rFonts w:ascii="Calibri" w:hAnsi="Calibri" w:cs="Calibri"/>
          <w:bCs/>
          <w:sz w:val="23"/>
          <w:szCs w:val="23"/>
          <w:lang w:val="en-US"/>
        </w:rPr>
        <w:t>2014</w:t>
      </w:r>
      <w:r w:rsidR="00FC4FE3" w:rsidRPr="008166EF">
        <w:rPr>
          <w:rFonts w:ascii="Calibri" w:hAnsi="Calibri" w:cs="Calibri"/>
          <w:bCs/>
          <w:sz w:val="23"/>
          <w:szCs w:val="23"/>
          <w:lang w:val="en-US"/>
        </w:rPr>
        <w:t xml:space="preserve"> amended budget.</w:t>
      </w:r>
      <w:r w:rsidR="00BF48A8" w:rsidRPr="008166EF">
        <w:rPr>
          <w:rFonts w:ascii="Calibri" w:hAnsi="Calibri" w:cs="Calibri"/>
          <w:bCs/>
          <w:sz w:val="23"/>
          <w:szCs w:val="23"/>
          <w:lang w:val="en-US"/>
        </w:rPr>
        <w:t xml:space="preserve"> For FY </w:t>
      </w:r>
      <w:r w:rsidR="00F136DA" w:rsidRPr="008166EF">
        <w:rPr>
          <w:rFonts w:ascii="Calibri" w:hAnsi="Calibri" w:cs="Calibri"/>
          <w:bCs/>
          <w:sz w:val="23"/>
          <w:szCs w:val="23"/>
          <w:lang w:val="en-US"/>
        </w:rPr>
        <w:t>2015</w:t>
      </w:r>
      <w:r w:rsidR="00BF48A8" w:rsidRPr="008166EF">
        <w:rPr>
          <w:rFonts w:ascii="Calibri" w:hAnsi="Calibri" w:cs="Calibri"/>
          <w:bCs/>
          <w:sz w:val="23"/>
          <w:szCs w:val="23"/>
          <w:lang w:val="en-US"/>
        </w:rPr>
        <w:t>,</w:t>
      </w:r>
      <w:r w:rsidR="00FC4FE3" w:rsidRPr="008166EF">
        <w:rPr>
          <w:rFonts w:ascii="Calibri" w:hAnsi="Calibri" w:cs="Calibri"/>
          <w:bCs/>
          <w:sz w:val="23"/>
          <w:szCs w:val="23"/>
          <w:lang w:val="en-US"/>
        </w:rPr>
        <w:t xml:space="preserve"> </w:t>
      </w:r>
      <w:r w:rsidR="006F0AA2" w:rsidRPr="008166EF">
        <w:rPr>
          <w:rFonts w:ascii="Calibri" w:hAnsi="Calibri" w:cs="Calibri"/>
          <w:bCs/>
          <w:sz w:val="23"/>
          <w:szCs w:val="23"/>
          <w:lang w:val="en-US"/>
        </w:rPr>
        <w:t xml:space="preserve">   Emergency 911 Call Center </w:t>
      </w:r>
      <w:r w:rsidR="00E41836" w:rsidRPr="008166EF">
        <w:rPr>
          <w:rFonts w:ascii="Calibri" w:hAnsi="Calibri" w:cs="Calibri"/>
          <w:bCs/>
          <w:sz w:val="23"/>
          <w:szCs w:val="23"/>
          <w:lang w:val="en-US"/>
        </w:rPr>
        <w:t>costs have been removed due to the</w:t>
      </w:r>
      <w:r w:rsidR="00BF48A8" w:rsidRPr="008166EF">
        <w:rPr>
          <w:rFonts w:ascii="Calibri" w:hAnsi="Calibri" w:cs="Calibri"/>
          <w:bCs/>
          <w:sz w:val="23"/>
          <w:szCs w:val="23"/>
          <w:lang w:val="en-US"/>
        </w:rPr>
        <w:t xml:space="preserve"> new </w:t>
      </w:r>
      <w:r w:rsidR="00E41836" w:rsidRPr="008166EF">
        <w:rPr>
          <w:rFonts w:ascii="Calibri" w:hAnsi="Calibri" w:cs="Calibri"/>
          <w:bCs/>
          <w:sz w:val="23"/>
          <w:szCs w:val="23"/>
          <w:lang w:val="en-US"/>
        </w:rPr>
        <w:t xml:space="preserve"> </w:t>
      </w:r>
      <w:r w:rsidR="00BF48A8" w:rsidRPr="008166EF">
        <w:rPr>
          <w:rFonts w:ascii="Calibri" w:hAnsi="Calibri" w:cs="Calibri"/>
          <w:bCs/>
          <w:sz w:val="23"/>
          <w:szCs w:val="23"/>
          <w:lang w:val="en-US"/>
        </w:rPr>
        <w:t xml:space="preserve"> </w:t>
      </w:r>
      <w:r w:rsidR="00FC4FE3" w:rsidRPr="008166EF">
        <w:rPr>
          <w:rFonts w:ascii="Calibri" w:hAnsi="Calibri" w:cs="Calibri"/>
          <w:bCs/>
          <w:sz w:val="23"/>
          <w:szCs w:val="23"/>
          <w:lang w:val="en-US"/>
        </w:rPr>
        <w:t xml:space="preserve">integrated </w:t>
      </w:r>
      <w:r w:rsidR="00E41836" w:rsidRPr="008166EF">
        <w:rPr>
          <w:rFonts w:ascii="Calibri" w:hAnsi="Calibri" w:cs="Calibri"/>
          <w:bCs/>
          <w:sz w:val="23"/>
          <w:szCs w:val="23"/>
          <w:lang w:val="en-US"/>
        </w:rPr>
        <w:t>Broward County regional system</w:t>
      </w:r>
      <w:r w:rsidR="006A6545" w:rsidRPr="008166EF">
        <w:rPr>
          <w:rFonts w:ascii="Calibri" w:hAnsi="Calibri" w:cs="Calibri"/>
          <w:bCs/>
          <w:sz w:val="23"/>
          <w:szCs w:val="23"/>
          <w:lang w:val="en-US"/>
        </w:rPr>
        <w:t xml:space="preserve">, which will provide </w:t>
      </w:r>
      <w:r w:rsidR="00F136DA" w:rsidRPr="008166EF">
        <w:rPr>
          <w:rFonts w:ascii="Calibri" w:hAnsi="Calibri" w:cs="Calibri"/>
          <w:bCs/>
          <w:sz w:val="23"/>
          <w:szCs w:val="23"/>
          <w:lang w:val="en-US"/>
        </w:rPr>
        <w:t>countywide</w:t>
      </w:r>
      <w:r w:rsidR="006A6545" w:rsidRPr="008166EF">
        <w:rPr>
          <w:rFonts w:ascii="Calibri" w:hAnsi="Calibri" w:cs="Calibri"/>
          <w:bCs/>
          <w:sz w:val="23"/>
          <w:szCs w:val="23"/>
          <w:lang w:val="en-US"/>
        </w:rPr>
        <w:t xml:space="preserve"> services</w:t>
      </w:r>
      <w:r w:rsidR="00E41836" w:rsidRPr="008166EF">
        <w:rPr>
          <w:rFonts w:ascii="Calibri" w:hAnsi="Calibri" w:cs="Calibri"/>
          <w:bCs/>
          <w:sz w:val="23"/>
          <w:szCs w:val="23"/>
          <w:lang w:val="en-US"/>
        </w:rPr>
        <w:t>.</w:t>
      </w:r>
      <w:r w:rsidR="006F0AA2" w:rsidRPr="008166EF">
        <w:rPr>
          <w:rFonts w:ascii="Calibri" w:hAnsi="Calibri" w:cs="Calibri"/>
          <w:bCs/>
          <w:sz w:val="23"/>
          <w:szCs w:val="23"/>
          <w:lang w:val="en-US"/>
        </w:rPr>
        <w:t xml:space="preserve"> </w:t>
      </w:r>
      <w:r w:rsidR="00BF48A8" w:rsidRPr="008166EF">
        <w:rPr>
          <w:rFonts w:ascii="Calibri" w:hAnsi="Calibri" w:cs="Calibri"/>
          <w:bCs/>
          <w:sz w:val="23"/>
          <w:szCs w:val="23"/>
          <w:lang w:val="en-US"/>
        </w:rPr>
        <w:t>Over the next five years, t</w:t>
      </w:r>
      <w:r w:rsidR="006F0AA2" w:rsidRPr="008166EF">
        <w:rPr>
          <w:rFonts w:ascii="Calibri" w:hAnsi="Calibri" w:cs="Calibri"/>
          <w:bCs/>
          <w:sz w:val="23"/>
          <w:szCs w:val="23"/>
          <w:lang w:val="en-US"/>
        </w:rPr>
        <w:t xml:space="preserve">he projection </w:t>
      </w:r>
      <w:r w:rsidR="00BF48A8" w:rsidRPr="008166EF">
        <w:rPr>
          <w:rFonts w:ascii="Calibri" w:hAnsi="Calibri" w:cs="Calibri"/>
          <w:bCs/>
          <w:sz w:val="23"/>
          <w:szCs w:val="23"/>
          <w:lang w:val="en-US"/>
        </w:rPr>
        <w:t xml:space="preserve">is a </w:t>
      </w:r>
      <w:r w:rsidR="00D36964" w:rsidRPr="008166EF">
        <w:rPr>
          <w:rFonts w:ascii="Calibri" w:hAnsi="Calibri" w:cs="Calibri"/>
          <w:bCs/>
          <w:sz w:val="23"/>
          <w:szCs w:val="23"/>
          <w:lang w:val="en-US"/>
        </w:rPr>
        <w:t>stable inflationary</w:t>
      </w:r>
      <w:r w:rsidR="00F15A5F" w:rsidRPr="008166EF">
        <w:rPr>
          <w:rFonts w:ascii="Calibri" w:hAnsi="Calibri" w:cs="Calibri"/>
          <w:bCs/>
          <w:sz w:val="23"/>
          <w:szCs w:val="23"/>
          <w:lang w:val="en-US"/>
        </w:rPr>
        <w:t xml:space="preserve"> factor of 1.2</w:t>
      </w:r>
      <w:r w:rsidR="00F136DA" w:rsidRPr="008166EF">
        <w:rPr>
          <w:rFonts w:ascii="Calibri" w:hAnsi="Calibri" w:cs="Calibri"/>
          <w:bCs/>
          <w:sz w:val="23"/>
          <w:szCs w:val="23"/>
          <w:lang w:val="en-US"/>
        </w:rPr>
        <w:t xml:space="preserve">% for </w:t>
      </w:r>
      <w:r w:rsidR="0023700A" w:rsidRPr="008166EF">
        <w:rPr>
          <w:rFonts w:ascii="Calibri" w:hAnsi="Calibri" w:cs="Calibri"/>
          <w:bCs/>
          <w:sz w:val="23"/>
          <w:szCs w:val="23"/>
          <w:lang w:val="en-US"/>
        </w:rPr>
        <w:t xml:space="preserve">the </w:t>
      </w:r>
      <w:r w:rsidR="00F136DA" w:rsidRPr="008166EF">
        <w:rPr>
          <w:rFonts w:ascii="Calibri" w:hAnsi="Calibri" w:cs="Calibri"/>
          <w:bCs/>
          <w:sz w:val="23"/>
          <w:szCs w:val="23"/>
          <w:lang w:val="en-US"/>
        </w:rPr>
        <w:t xml:space="preserve">cost </w:t>
      </w:r>
      <w:r w:rsidR="0023700A" w:rsidRPr="008166EF">
        <w:rPr>
          <w:rFonts w:ascii="Calibri" w:hAnsi="Calibri" w:cs="Calibri"/>
          <w:bCs/>
          <w:sz w:val="23"/>
          <w:szCs w:val="23"/>
          <w:lang w:val="en-US"/>
        </w:rPr>
        <w:t xml:space="preserve">of </w:t>
      </w:r>
      <w:r w:rsidR="00CC62C2" w:rsidRPr="008166EF">
        <w:rPr>
          <w:rFonts w:ascii="Calibri" w:hAnsi="Calibri" w:cs="Calibri"/>
          <w:bCs/>
          <w:sz w:val="23"/>
          <w:szCs w:val="23"/>
          <w:lang w:val="en-US"/>
        </w:rPr>
        <w:t>supplies and services</w:t>
      </w:r>
      <w:r w:rsidR="00F136DA" w:rsidRPr="008166EF">
        <w:rPr>
          <w:rFonts w:ascii="Calibri" w:hAnsi="Calibri" w:cs="Calibri"/>
          <w:bCs/>
          <w:sz w:val="23"/>
          <w:szCs w:val="23"/>
          <w:lang w:val="en-US"/>
        </w:rPr>
        <w:t>.</w:t>
      </w:r>
    </w:p>
    <w:p w:rsidR="00187022" w:rsidRDefault="00187022" w:rsidP="008166EF">
      <w:pPr>
        <w:keepNext/>
        <w:autoSpaceDE w:val="0"/>
        <w:outlineLvl w:val="0"/>
        <w:rPr>
          <w:rFonts w:asciiTheme="minorHAnsi" w:hAnsiTheme="minorHAnsi" w:cstheme="minorHAnsi"/>
          <w:b/>
          <w:bCs/>
          <w:sz w:val="30"/>
          <w:szCs w:val="30"/>
        </w:rPr>
      </w:pPr>
    </w:p>
    <w:p w:rsidR="006F0AA2" w:rsidRPr="00D4484F" w:rsidRDefault="006F0AA2" w:rsidP="006F0AA2">
      <w:pPr>
        <w:keepNext/>
        <w:autoSpaceDE w:val="0"/>
        <w:jc w:val="center"/>
        <w:outlineLvl w:val="0"/>
        <w:rPr>
          <w:rFonts w:asciiTheme="minorHAnsi" w:hAnsiTheme="minorHAnsi" w:cstheme="minorHAnsi"/>
          <w:b/>
          <w:bCs/>
          <w:sz w:val="30"/>
          <w:szCs w:val="30"/>
        </w:rPr>
      </w:pPr>
      <w:r w:rsidRPr="00D4484F">
        <w:rPr>
          <w:rFonts w:asciiTheme="minorHAnsi" w:hAnsiTheme="minorHAnsi" w:cstheme="minorHAnsi"/>
          <w:b/>
          <w:bCs/>
          <w:sz w:val="30"/>
          <w:szCs w:val="30"/>
        </w:rPr>
        <w:t>Other Operating Expenditures</w:t>
      </w:r>
    </w:p>
    <w:p w:rsidR="006F0AA2" w:rsidRPr="0082776C" w:rsidRDefault="006F0AA2" w:rsidP="006F0AA2">
      <w:pPr>
        <w:keepNext/>
        <w:autoSpaceDE w:val="0"/>
        <w:jc w:val="center"/>
        <w:outlineLvl w:val="0"/>
        <w:rPr>
          <w:rFonts w:ascii="Calibri" w:hAnsi="Calibri" w:cs="Calibri"/>
          <w:b/>
          <w:bCs/>
          <w:sz w:val="20"/>
        </w:rPr>
      </w:pPr>
    </w:p>
    <w:p w:rsidR="00D36964" w:rsidRPr="008166EF" w:rsidRDefault="00E949CB" w:rsidP="00D36964">
      <w:pPr>
        <w:pStyle w:val="BodyText3"/>
        <w:jc w:val="both"/>
        <w:rPr>
          <w:rFonts w:asciiTheme="minorHAnsi" w:hAnsiTheme="minorHAnsi" w:cstheme="minorHAnsi"/>
          <w:b/>
          <w:bCs/>
          <w:sz w:val="23"/>
          <w:szCs w:val="23"/>
        </w:rPr>
      </w:pPr>
      <w:r w:rsidRPr="008166EF">
        <w:rPr>
          <w:rFonts w:asciiTheme="minorHAnsi" w:hAnsiTheme="minorHAnsi" w:cstheme="minorHAnsi"/>
          <w:b/>
          <w:bCs/>
          <w:noProof/>
          <w:sz w:val="23"/>
          <w:szCs w:val="23"/>
          <w:lang w:val="en-US" w:eastAsia="en-US"/>
        </w:rPr>
        <w:drawing>
          <wp:anchor distT="0" distB="0" distL="114300" distR="114300" simplePos="0" relativeHeight="251697152" behindDoc="0" locked="0" layoutInCell="1" allowOverlap="1" wp14:anchorId="23BDCD5C" wp14:editId="437C09AE">
            <wp:simplePos x="0" y="0"/>
            <wp:positionH relativeFrom="column">
              <wp:posOffset>1345565</wp:posOffset>
            </wp:positionH>
            <wp:positionV relativeFrom="paragraph">
              <wp:posOffset>478790</wp:posOffset>
            </wp:positionV>
            <wp:extent cx="5120640" cy="282765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330"/>
                    <a:stretch/>
                  </pic:blipFill>
                  <pic:spPr bwMode="auto">
                    <a:xfrm>
                      <a:off x="0" y="0"/>
                      <a:ext cx="5120640" cy="2827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AA2" w:rsidRPr="008166EF">
        <w:rPr>
          <w:rFonts w:ascii="Calibri" w:hAnsi="Calibri" w:cs="Calibri"/>
          <w:bCs/>
          <w:sz w:val="23"/>
          <w:szCs w:val="23"/>
        </w:rPr>
        <w:t xml:space="preserve">This </w:t>
      </w:r>
      <w:r w:rsidR="006F0AA2" w:rsidRPr="008166EF">
        <w:rPr>
          <w:rFonts w:ascii="Calibri" w:hAnsi="Calibri" w:cs="Calibri"/>
          <w:bCs/>
          <w:sz w:val="23"/>
          <w:szCs w:val="23"/>
          <w:lang w:val="en-US"/>
        </w:rPr>
        <w:t xml:space="preserve">expenditure </w:t>
      </w:r>
      <w:r w:rsidR="006F0AA2" w:rsidRPr="008166EF">
        <w:rPr>
          <w:rFonts w:ascii="Calibri" w:hAnsi="Calibri" w:cs="Calibri"/>
          <w:bCs/>
          <w:sz w:val="23"/>
          <w:szCs w:val="23"/>
        </w:rPr>
        <w:t xml:space="preserve">includes </w:t>
      </w:r>
      <w:r w:rsidR="00E07E0D" w:rsidRPr="008166EF">
        <w:rPr>
          <w:rFonts w:ascii="Calibri" w:hAnsi="Calibri" w:cs="Calibri"/>
          <w:bCs/>
          <w:sz w:val="23"/>
          <w:szCs w:val="23"/>
          <w:lang w:val="en-US"/>
        </w:rPr>
        <w:t xml:space="preserve">staff training and certifications, </w:t>
      </w:r>
      <w:r w:rsidR="006F0AA2" w:rsidRPr="008166EF">
        <w:rPr>
          <w:rFonts w:ascii="Calibri" w:hAnsi="Calibri" w:cs="Calibri"/>
          <w:bCs/>
          <w:sz w:val="23"/>
          <w:szCs w:val="23"/>
          <w:lang w:val="en-US"/>
        </w:rPr>
        <w:t xml:space="preserve">liability and property insurance premiums, </w:t>
      </w:r>
      <w:r w:rsidRPr="008166EF">
        <w:rPr>
          <w:rFonts w:ascii="Calibri" w:hAnsi="Calibri" w:cs="Calibri"/>
          <w:bCs/>
          <w:sz w:val="23"/>
          <w:szCs w:val="23"/>
          <w:lang w:val="en-US"/>
        </w:rPr>
        <w:t xml:space="preserve">information technology </w:t>
      </w:r>
      <w:proofErr w:type="spellStart"/>
      <w:r w:rsidR="006F0AA2" w:rsidRPr="008166EF">
        <w:rPr>
          <w:rFonts w:ascii="Calibri" w:hAnsi="Calibri" w:cs="Calibri"/>
          <w:bCs/>
          <w:sz w:val="23"/>
          <w:szCs w:val="23"/>
          <w:lang w:val="en-US"/>
        </w:rPr>
        <w:t>interfund</w:t>
      </w:r>
      <w:proofErr w:type="spellEnd"/>
      <w:r w:rsidR="006F0AA2" w:rsidRPr="008166EF">
        <w:rPr>
          <w:rFonts w:ascii="Calibri" w:hAnsi="Calibri" w:cs="Calibri"/>
          <w:bCs/>
          <w:sz w:val="23"/>
          <w:szCs w:val="23"/>
          <w:lang w:val="en-US"/>
        </w:rPr>
        <w:t xml:space="preserve"> service c</w:t>
      </w:r>
      <w:r w:rsidR="00492589" w:rsidRPr="008166EF">
        <w:rPr>
          <w:rFonts w:ascii="Calibri" w:hAnsi="Calibri" w:cs="Calibri"/>
          <w:bCs/>
          <w:sz w:val="23"/>
          <w:szCs w:val="23"/>
          <w:lang w:val="en-US"/>
        </w:rPr>
        <w:t xml:space="preserve">harges, fleet related operating </w:t>
      </w:r>
      <w:r w:rsidR="006F0AA2" w:rsidRPr="008166EF">
        <w:rPr>
          <w:rFonts w:ascii="Calibri" w:hAnsi="Calibri" w:cs="Calibri"/>
          <w:bCs/>
          <w:sz w:val="23"/>
          <w:szCs w:val="23"/>
          <w:lang w:val="en-US"/>
        </w:rPr>
        <w:t xml:space="preserve">charges.  The </w:t>
      </w:r>
      <w:r w:rsidR="00925552" w:rsidRPr="008166EF">
        <w:rPr>
          <w:rFonts w:ascii="Calibri" w:hAnsi="Calibri" w:cs="Calibri"/>
          <w:bCs/>
          <w:sz w:val="23"/>
          <w:szCs w:val="23"/>
          <w:lang w:val="en-US"/>
        </w:rPr>
        <w:t>proposed</w:t>
      </w:r>
      <w:r w:rsidR="006F0AA2" w:rsidRPr="008166EF">
        <w:rPr>
          <w:rFonts w:ascii="Calibri" w:hAnsi="Calibri" w:cs="Calibri"/>
          <w:bCs/>
          <w:sz w:val="23"/>
          <w:szCs w:val="23"/>
          <w:lang w:val="en-US"/>
        </w:rPr>
        <w:t xml:space="preserve"> budget for</w:t>
      </w:r>
      <w:r w:rsidR="00D36964" w:rsidRPr="008166EF">
        <w:rPr>
          <w:rFonts w:ascii="Calibri" w:hAnsi="Calibri" w:cs="Calibri"/>
          <w:bCs/>
          <w:sz w:val="23"/>
          <w:szCs w:val="23"/>
          <w:lang w:val="en-US"/>
        </w:rPr>
        <w:t xml:space="preserve"> </w:t>
      </w:r>
      <w:r w:rsidR="006F0AA2" w:rsidRPr="008166EF">
        <w:rPr>
          <w:rFonts w:ascii="Calibri" w:hAnsi="Calibri" w:cs="Calibri"/>
          <w:bCs/>
          <w:sz w:val="23"/>
          <w:szCs w:val="23"/>
          <w:lang w:val="en-US"/>
        </w:rPr>
        <w:t xml:space="preserve">FY </w:t>
      </w:r>
      <w:r w:rsidR="00925552" w:rsidRPr="008166EF">
        <w:rPr>
          <w:rFonts w:ascii="Calibri" w:hAnsi="Calibri" w:cs="Calibri"/>
          <w:bCs/>
          <w:sz w:val="23"/>
          <w:szCs w:val="23"/>
          <w:lang w:val="en-US"/>
        </w:rPr>
        <w:t>2015</w:t>
      </w:r>
      <w:r w:rsidR="006F0AA2" w:rsidRPr="008166EF">
        <w:rPr>
          <w:rFonts w:ascii="Calibri" w:hAnsi="Calibri" w:cs="Calibri"/>
          <w:bCs/>
          <w:sz w:val="23"/>
          <w:szCs w:val="23"/>
          <w:lang w:val="en-US"/>
        </w:rPr>
        <w:t xml:space="preserve"> is $</w:t>
      </w:r>
      <w:r w:rsidR="00ED3AB6" w:rsidRPr="008166EF">
        <w:rPr>
          <w:rFonts w:ascii="Calibri" w:hAnsi="Calibri" w:cs="Calibri"/>
          <w:bCs/>
          <w:sz w:val="23"/>
          <w:szCs w:val="23"/>
          <w:lang w:val="en-US"/>
        </w:rPr>
        <w:t>34,196,501</w:t>
      </w:r>
      <w:r w:rsidR="006F0AA2" w:rsidRPr="008166EF">
        <w:rPr>
          <w:rFonts w:ascii="Calibri" w:hAnsi="Calibri" w:cs="Calibri"/>
          <w:bCs/>
          <w:sz w:val="23"/>
          <w:szCs w:val="23"/>
          <w:lang w:val="en-US"/>
        </w:rPr>
        <w:t xml:space="preserve">, which represents a </w:t>
      </w:r>
      <w:r w:rsidR="00ED3AB6" w:rsidRPr="008166EF">
        <w:rPr>
          <w:rFonts w:ascii="Calibri" w:hAnsi="Calibri" w:cs="Calibri"/>
          <w:bCs/>
          <w:sz w:val="23"/>
          <w:szCs w:val="23"/>
          <w:lang w:val="en-US"/>
        </w:rPr>
        <w:t>.9% de</w:t>
      </w:r>
      <w:r w:rsidR="006F0AA2" w:rsidRPr="008166EF">
        <w:rPr>
          <w:rFonts w:ascii="Calibri" w:hAnsi="Calibri" w:cs="Calibri"/>
          <w:bCs/>
          <w:sz w:val="23"/>
          <w:szCs w:val="23"/>
          <w:lang w:val="en-US"/>
        </w:rPr>
        <w:t xml:space="preserve">crease from the FY </w:t>
      </w:r>
      <w:r w:rsidR="00925552" w:rsidRPr="008166EF">
        <w:rPr>
          <w:rFonts w:ascii="Calibri" w:hAnsi="Calibri" w:cs="Calibri"/>
          <w:bCs/>
          <w:sz w:val="23"/>
          <w:szCs w:val="23"/>
          <w:lang w:val="en-US"/>
        </w:rPr>
        <w:t>2014</w:t>
      </w:r>
      <w:r w:rsidR="006F0AA2" w:rsidRPr="008166EF">
        <w:rPr>
          <w:rFonts w:ascii="Calibri" w:hAnsi="Calibri" w:cs="Calibri"/>
          <w:bCs/>
          <w:sz w:val="23"/>
          <w:szCs w:val="23"/>
          <w:lang w:val="en-US"/>
        </w:rPr>
        <w:t xml:space="preserve"> amended budget, </w:t>
      </w:r>
      <w:r w:rsidR="009743CF" w:rsidRPr="008166EF">
        <w:rPr>
          <w:rFonts w:ascii="Calibri" w:hAnsi="Calibri" w:cs="Calibri"/>
          <w:bCs/>
          <w:sz w:val="23"/>
          <w:szCs w:val="23"/>
          <w:lang w:val="en-US"/>
        </w:rPr>
        <w:t xml:space="preserve">which is </w:t>
      </w:r>
      <w:r w:rsidR="006F0AA2" w:rsidRPr="008166EF">
        <w:rPr>
          <w:rFonts w:ascii="Calibri" w:hAnsi="Calibri" w:cs="Calibri"/>
          <w:bCs/>
          <w:sz w:val="23"/>
          <w:szCs w:val="23"/>
          <w:lang w:val="en-US"/>
        </w:rPr>
        <w:t xml:space="preserve">primarily due to </w:t>
      </w:r>
      <w:r w:rsidR="007756BF" w:rsidRPr="008166EF">
        <w:rPr>
          <w:rFonts w:ascii="Calibri" w:hAnsi="Calibri" w:cs="Calibri"/>
          <w:bCs/>
          <w:sz w:val="23"/>
          <w:szCs w:val="23"/>
          <w:lang w:val="en-US"/>
        </w:rPr>
        <w:t xml:space="preserve">decreases </w:t>
      </w:r>
      <w:r w:rsidR="00E41836" w:rsidRPr="008166EF">
        <w:rPr>
          <w:rFonts w:ascii="Calibri" w:hAnsi="Calibri" w:cs="Calibri"/>
          <w:bCs/>
          <w:sz w:val="23"/>
          <w:szCs w:val="23"/>
          <w:lang w:val="en-US"/>
        </w:rPr>
        <w:t>in</w:t>
      </w:r>
      <w:r w:rsidR="006F0AA2" w:rsidRPr="008166EF">
        <w:rPr>
          <w:rFonts w:ascii="Calibri" w:hAnsi="Calibri" w:cs="Calibri"/>
          <w:bCs/>
          <w:sz w:val="23"/>
          <w:szCs w:val="23"/>
          <w:lang w:val="en-US"/>
        </w:rPr>
        <w:t xml:space="preserve"> </w:t>
      </w:r>
      <w:r w:rsidR="009743CF" w:rsidRPr="008166EF">
        <w:rPr>
          <w:rFonts w:ascii="Calibri" w:hAnsi="Calibri" w:cs="Calibri"/>
          <w:bCs/>
          <w:sz w:val="23"/>
          <w:szCs w:val="23"/>
          <w:lang w:val="en-US"/>
        </w:rPr>
        <w:t xml:space="preserve">the cost of </w:t>
      </w:r>
      <w:r w:rsidR="006F0AA2" w:rsidRPr="008166EF">
        <w:rPr>
          <w:rFonts w:ascii="Calibri" w:hAnsi="Calibri" w:cs="Calibri"/>
          <w:bCs/>
          <w:sz w:val="23"/>
          <w:szCs w:val="23"/>
          <w:lang w:val="en-US"/>
        </w:rPr>
        <w:t>information technology</w:t>
      </w:r>
      <w:r w:rsidRPr="008166EF">
        <w:rPr>
          <w:rFonts w:ascii="Calibri" w:hAnsi="Calibri" w:cs="Calibri"/>
          <w:bCs/>
          <w:sz w:val="23"/>
          <w:szCs w:val="23"/>
          <w:lang w:val="en-US"/>
        </w:rPr>
        <w:t xml:space="preserve"> </w:t>
      </w:r>
      <w:proofErr w:type="spellStart"/>
      <w:r w:rsidRPr="008166EF">
        <w:rPr>
          <w:rFonts w:ascii="Calibri" w:hAnsi="Calibri" w:cs="Calibri"/>
          <w:bCs/>
          <w:sz w:val="23"/>
          <w:szCs w:val="23"/>
          <w:lang w:val="en-US"/>
        </w:rPr>
        <w:t>interfund</w:t>
      </w:r>
      <w:proofErr w:type="spellEnd"/>
      <w:r w:rsidRPr="008166EF">
        <w:rPr>
          <w:rFonts w:ascii="Calibri" w:hAnsi="Calibri" w:cs="Calibri"/>
          <w:bCs/>
          <w:sz w:val="23"/>
          <w:szCs w:val="23"/>
          <w:lang w:val="en-US"/>
        </w:rPr>
        <w:t xml:space="preserve"> ser</w:t>
      </w:r>
      <w:r w:rsidR="009734C6" w:rsidRPr="008166EF">
        <w:rPr>
          <w:rFonts w:ascii="Calibri" w:hAnsi="Calibri" w:cs="Calibri"/>
          <w:bCs/>
          <w:sz w:val="23"/>
          <w:szCs w:val="23"/>
          <w:lang w:val="en-US"/>
        </w:rPr>
        <w:t>v</w:t>
      </w:r>
      <w:r w:rsidRPr="008166EF">
        <w:rPr>
          <w:rFonts w:ascii="Calibri" w:hAnsi="Calibri" w:cs="Calibri"/>
          <w:bCs/>
          <w:sz w:val="23"/>
          <w:szCs w:val="23"/>
          <w:lang w:val="en-US"/>
        </w:rPr>
        <w:t>ice</w:t>
      </w:r>
      <w:r w:rsidR="006F0AA2" w:rsidRPr="008166EF">
        <w:rPr>
          <w:rFonts w:ascii="Calibri" w:hAnsi="Calibri" w:cs="Calibri"/>
          <w:bCs/>
          <w:sz w:val="23"/>
          <w:szCs w:val="23"/>
          <w:lang w:val="en-US"/>
        </w:rPr>
        <w:t xml:space="preserve"> charge</w:t>
      </w:r>
      <w:r w:rsidR="00E07E0D" w:rsidRPr="008166EF">
        <w:rPr>
          <w:rFonts w:ascii="Calibri" w:hAnsi="Calibri" w:cs="Calibri"/>
          <w:bCs/>
          <w:sz w:val="23"/>
          <w:szCs w:val="23"/>
          <w:lang w:val="en-US"/>
        </w:rPr>
        <w:t xml:space="preserve">s </w:t>
      </w:r>
      <w:r w:rsidR="00E41836" w:rsidRPr="008166EF">
        <w:rPr>
          <w:rFonts w:ascii="Calibri" w:hAnsi="Calibri" w:cs="Calibri"/>
          <w:bCs/>
          <w:sz w:val="23"/>
          <w:szCs w:val="23"/>
          <w:lang w:val="en-US"/>
        </w:rPr>
        <w:t>and fleet related charges</w:t>
      </w:r>
      <w:r w:rsidR="006F0AA2" w:rsidRPr="008166EF">
        <w:rPr>
          <w:rFonts w:ascii="Calibri" w:hAnsi="Calibri" w:cs="Calibri"/>
          <w:bCs/>
          <w:sz w:val="23"/>
          <w:szCs w:val="23"/>
          <w:lang w:val="en-US"/>
        </w:rPr>
        <w:t>.</w:t>
      </w:r>
      <w:r w:rsidR="00857859" w:rsidRPr="008166EF">
        <w:rPr>
          <w:rFonts w:ascii="Calibri" w:hAnsi="Calibri" w:cs="Calibri"/>
          <w:bCs/>
          <w:sz w:val="23"/>
          <w:szCs w:val="23"/>
          <w:lang w:val="en-US"/>
        </w:rPr>
        <w:t xml:space="preserve"> </w:t>
      </w:r>
    </w:p>
    <w:p w:rsidR="00240E3E" w:rsidRDefault="00240E3E" w:rsidP="009734C6">
      <w:pPr>
        <w:pStyle w:val="BodyText3"/>
        <w:spacing w:after="0"/>
        <w:jc w:val="center"/>
        <w:rPr>
          <w:rFonts w:asciiTheme="minorHAnsi" w:hAnsiTheme="minorHAnsi" w:cstheme="minorHAnsi"/>
          <w:b/>
          <w:bCs/>
          <w:sz w:val="30"/>
          <w:szCs w:val="30"/>
          <w:lang w:val="en-US" w:eastAsia="en-US"/>
        </w:rPr>
      </w:pPr>
    </w:p>
    <w:p w:rsidR="00240E3E" w:rsidRDefault="00240E3E" w:rsidP="009734C6">
      <w:pPr>
        <w:pStyle w:val="BodyText3"/>
        <w:spacing w:after="0"/>
        <w:jc w:val="center"/>
        <w:rPr>
          <w:rFonts w:asciiTheme="minorHAnsi" w:hAnsiTheme="minorHAnsi" w:cstheme="minorHAnsi"/>
          <w:b/>
          <w:bCs/>
          <w:sz w:val="30"/>
          <w:szCs w:val="30"/>
          <w:lang w:val="en-US" w:eastAsia="en-US"/>
        </w:rPr>
      </w:pPr>
    </w:p>
    <w:p w:rsidR="00DA631D" w:rsidRDefault="00DA631D" w:rsidP="009734C6">
      <w:pPr>
        <w:pStyle w:val="BodyText3"/>
        <w:spacing w:after="0"/>
        <w:jc w:val="center"/>
        <w:rPr>
          <w:rFonts w:asciiTheme="minorHAnsi" w:hAnsiTheme="minorHAnsi" w:cstheme="minorHAnsi"/>
          <w:b/>
          <w:bCs/>
          <w:sz w:val="30"/>
          <w:szCs w:val="30"/>
          <w:lang w:val="en-US" w:eastAsia="en-US"/>
        </w:rPr>
      </w:pPr>
      <w:r w:rsidRPr="00DA631D">
        <w:rPr>
          <w:rFonts w:asciiTheme="minorHAnsi" w:hAnsiTheme="minorHAnsi" w:cstheme="minorHAnsi"/>
          <w:b/>
          <w:bCs/>
          <w:sz w:val="30"/>
          <w:szCs w:val="30"/>
          <w:lang w:val="en-US" w:eastAsia="en-US"/>
        </w:rPr>
        <w:lastRenderedPageBreak/>
        <w:t xml:space="preserve">Capital Outlay </w:t>
      </w:r>
    </w:p>
    <w:p w:rsidR="009734C6" w:rsidRDefault="009734C6" w:rsidP="009734C6">
      <w:pPr>
        <w:pStyle w:val="BodyText3"/>
        <w:spacing w:after="0"/>
        <w:jc w:val="both"/>
        <w:rPr>
          <w:rFonts w:ascii="Calibri" w:hAnsi="Calibri" w:cs="Calibri"/>
          <w:bCs/>
          <w:szCs w:val="22"/>
          <w:lang w:val="en-US"/>
        </w:rPr>
      </w:pPr>
    </w:p>
    <w:p w:rsidR="00A00A32" w:rsidRPr="008166EF" w:rsidRDefault="00516631" w:rsidP="009734C6">
      <w:pPr>
        <w:pStyle w:val="BodyText3"/>
        <w:spacing w:after="0"/>
        <w:jc w:val="both"/>
        <w:rPr>
          <w:rFonts w:asciiTheme="minorHAnsi" w:hAnsiTheme="minorHAnsi" w:cstheme="minorHAnsi"/>
          <w:b/>
          <w:bCs/>
          <w:sz w:val="23"/>
          <w:szCs w:val="23"/>
        </w:rPr>
      </w:pPr>
      <w:r w:rsidRPr="008166EF">
        <w:rPr>
          <w:rFonts w:ascii="Calibri" w:hAnsi="Calibri" w:cs="Calibri"/>
          <w:bCs/>
          <w:noProof/>
          <w:sz w:val="23"/>
          <w:szCs w:val="23"/>
          <w:lang w:val="en-US" w:eastAsia="en-US"/>
        </w:rPr>
        <w:drawing>
          <wp:anchor distT="0" distB="0" distL="114300" distR="114300" simplePos="0" relativeHeight="251698176" behindDoc="0" locked="0" layoutInCell="1" allowOverlap="1" wp14:anchorId="088C2817" wp14:editId="03EA9F99">
            <wp:simplePos x="0" y="0"/>
            <wp:positionH relativeFrom="column">
              <wp:posOffset>1310640</wp:posOffset>
            </wp:positionH>
            <wp:positionV relativeFrom="paragraph">
              <wp:posOffset>789940</wp:posOffset>
            </wp:positionV>
            <wp:extent cx="5295900" cy="29959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l="2443" t="9359"/>
                    <a:stretch/>
                  </pic:blipFill>
                  <pic:spPr bwMode="auto">
                    <a:xfrm>
                      <a:off x="0" y="0"/>
                      <a:ext cx="5295900" cy="299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AA2" w:rsidRPr="008166EF">
        <w:rPr>
          <w:rFonts w:ascii="Calibri" w:hAnsi="Calibri" w:cs="Calibri"/>
          <w:bCs/>
          <w:sz w:val="23"/>
          <w:szCs w:val="23"/>
        </w:rPr>
        <w:t xml:space="preserve">This </w:t>
      </w:r>
      <w:r w:rsidR="006F0AA2" w:rsidRPr="008166EF">
        <w:rPr>
          <w:rFonts w:ascii="Calibri" w:hAnsi="Calibri" w:cs="Calibri"/>
          <w:bCs/>
          <w:sz w:val="23"/>
          <w:szCs w:val="23"/>
          <w:lang w:val="en-US"/>
        </w:rPr>
        <w:t>expenditure category</w:t>
      </w:r>
      <w:r w:rsidR="006F0AA2" w:rsidRPr="008166EF">
        <w:rPr>
          <w:rFonts w:ascii="Calibri" w:hAnsi="Calibri" w:cs="Calibri"/>
          <w:bCs/>
          <w:sz w:val="23"/>
          <w:szCs w:val="23"/>
        </w:rPr>
        <w:t xml:space="preserve"> </w:t>
      </w:r>
      <w:r w:rsidR="001272F4" w:rsidRPr="008166EF">
        <w:rPr>
          <w:rFonts w:ascii="Calibri" w:hAnsi="Calibri" w:cs="Calibri"/>
          <w:bCs/>
          <w:sz w:val="23"/>
          <w:szCs w:val="23"/>
          <w:lang w:val="en-US"/>
        </w:rPr>
        <w:t xml:space="preserve">includes fixed assets that are durable in nature and cost at least $5,000. The proposed budget for FY 2015 is </w:t>
      </w:r>
      <w:r w:rsidR="006F0AA2" w:rsidRPr="008166EF">
        <w:rPr>
          <w:rFonts w:ascii="Calibri" w:hAnsi="Calibri" w:cs="Calibri"/>
          <w:bCs/>
          <w:sz w:val="23"/>
          <w:szCs w:val="23"/>
          <w:lang w:val="en-US"/>
        </w:rPr>
        <w:t>$</w:t>
      </w:r>
      <w:r w:rsidR="00E07E0D" w:rsidRPr="008166EF">
        <w:rPr>
          <w:rFonts w:ascii="Calibri" w:hAnsi="Calibri" w:cs="Calibri"/>
          <w:bCs/>
          <w:sz w:val="23"/>
          <w:szCs w:val="23"/>
          <w:lang w:val="en-US"/>
        </w:rPr>
        <w:t>662,298</w:t>
      </w:r>
      <w:r w:rsidR="006F0AA2" w:rsidRPr="008166EF">
        <w:rPr>
          <w:rFonts w:ascii="Calibri" w:hAnsi="Calibri" w:cs="Calibri"/>
          <w:bCs/>
          <w:sz w:val="23"/>
          <w:szCs w:val="23"/>
          <w:lang w:val="en-US"/>
        </w:rPr>
        <w:t xml:space="preserve">, which is </w:t>
      </w:r>
      <w:r w:rsidR="00E07E0D" w:rsidRPr="008166EF">
        <w:rPr>
          <w:rFonts w:ascii="Calibri" w:hAnsi="Calibri" w:cs="Calibri"/>
          <w:bCs/>
          <w:sz w:val="23"/>
          <w:szCs w:val="23"/>
          <w:lang w:val="en-US"/>
        </w:rPr>
        <w:t>.2</w:t>
      </w:r>
      <w:r w:rsidR="006F0AA2" w:rsidRPr="008166EF">
        <w:rPr>
          <w:rFonts w:ascii="Calibri" w:hAnsi="Calibri" w:cs="Calibri"/>
          <w:bCs/>
          <w:sz w:val="23"/>
          <w:szCs w:val="23"/>
          <w:lang w:val="en-US"/>
        </w:rPr>
        <w:t>% of the General Fund expenditures</w:t>
      </w:r>
      <w:bookmarkEnd w:id="3"/>
      <w:r w:rsidR="009734C6" w:rsidRPr="008166EF">
        <w:rPr>
          <w:rFonts w:ascii="Calibri" w:hAnsi="Calibri" w:cs="Calibri"/>
          <w:bCs/>
          <w:sz w:val="23"/>
          <w:szCs w:val="23"/>
          <w:lang w:val="en-US"/>
        </w:rPr>
        <w:t>.  The FY 2015 capital outlay budget proposes upgraded information technology, office renovations, and repair and maintenance equipment. Capital outlay is not for capital project improvements</w:t>
      </w:r>
      <w:r w:rsidR="0023700A" w:rsidRPr="008166EF">
        <w:rPr>
          <w:rFonts w:ascii="Calibri" w:hAnsi="Calibri" w:cs="Calibri"/>
          <w:bCs/>
          <w:sz w:val="23"/>
          <w:szCs w:val="23"/>
          <w:lang w:val="en-US"/>
        </w:rPr>
        <w:t xml:space="preserve">. </w:t>
      </w:r>
      <w:r w:rsidR="009734C6" w:rsidRPr="008166EF">
        <w:rPr>
          <w:rFonts w:ascii="Calibri" w:hAnsi="Calibri" w:cs="Calibri"/>
          <w:bCs/>
          <w:sz w:val="23"/>
          <w:szCs w:val="23"/>
          <w:lang w:val="en-US"/>
        </w:rPr>
        <w:t xml:space="preserve"> </w:t>
      </w:r>
      <w:r w:rsidR="0023700A" w:rsidRPr="008166EF">
        <w:rPr>
          <w:rFonts w:ascii="Calibri" w:hAnsi="Calibri" w:cs="Calibri"/>
          <w:bCs/>
          <w:sz w:val="23"/>
          <w:szCs w:val="23"/>
          <w:lang w:val="en-US"/>
        </w:rPr>
        <w:t>A</w:t>
      </w:r>
      <w:r w:rsidR="009734C6" w:rsidRPr="008166EF">
        <w:rPr>
          <w:rFonts w:ascii="Calibri" w:hAnsi="Calibri" w:cs="Calibri"/>
          <w:bCs/>
          <w:sz w:val="23"/>
          <w:szCs w:val="23"/>
          <w:lang w:val="en-US"/>
        </w:rPr>
        <w:t xml:space="preserve">ll General Fund related capital projects are funded via a transfer out from the General Fund to the General Capital Projects Fund. </w:t>
      </w:r>
      <w:bookmarkEnd w:id="1"/>
      <w:r w:rsidR="009734C6" w:rsidRPr="008166EF">
        <w:rPr>
          <w:rFonts w:ascii="Calibri" w:hAnsi="Calibri" w:cs="Calibri"/>
          <w:bCs/>
          <w:sz w:val="23"/>
          <w:szCs w:val="23"/>
          <w:lang w:val="en-US"/>
        </w:rPr>
        <w:t>The General Fund capital improveme</w:t>
      </w:r>
      <w:r w:rsidR="0023700A" w:rsidRPr="008166EF">
        <w:rPr>
          <w:rFonts w:ascii="Calibri" w:hAnsi="Calibri" w:cs="Calibri"/>
          <w:bCs/>
          <w:sz w:val="23"/>
          <w:szCs w:val="23"/>
          <w:lang w:val="en-US"/>
        </w:rPr>
        <w:t>n</w:t>
      </w:r>
      <w:r w:rsidR="009734C6" w:rsidRPr="008166EF">
        <w:rPr>
          <w:rFonts w:ascii="Calibri" w:hAnsi="Calibri" w:cs="Calibri"/>
          <w:bCs/>
          <w:sz w:val="23"/>
          <w:szCs w:val="23"/>
          <w:lang w:val="en-US"/>
        </w:rPr>
        <w:t>t transfer for FY 2015 is $6.85 million.</w:t>
      </w:r>
    </w:p>
    <w:p w:rsidR="001272F4" w:rsidRDefault="001272F4" w:rsidP="006F0AA2">
      <w:pPr>
        <w:pStyle w:val="BodyText3"/>
        <w:jc w:val="both"/>
        <w:rPr>
          <w:lang w:val="en-US"/>
        </w:rPr>
      </w:pPr>
    </w:p>
    <w:p w:rsidR="001272F4" w:rsidRDefault="001272F4" w:rsidP="006F0AA2">
      <w:pPr>
        <w:pStyle w:val="BodyText3"/>
        <w:jc w:val="both"/>
        <w:rPr>
          <w:lang w:val="en-US"/>
        </w:rPr>
      </w:pPr>
    </w:p>
    <w:p w:rsidR="001272F4" w:rsidRDefault="001272F4" w:rsidP="006F0AA2">
      <w:pPr>
        <w:pStyle w:val="BodyText3"/>
        <w:jc w:val="both"/>
        <w:rPr>
          <w:lang w:val="en-US"/>
        </w:rPr>
      </w:pPr>
    </w:p>
    <w:p w:rsidR="001272F4" w:rsidRDefault="001272F4" w:rsidP="006F0AA2">
      <w:pPr>
        <w:pStyle w:val="BodyText3"/>
        <w:jc w:val="both"/>
        <w:rPr>
          <w:lang w:val="en-US"/>
        </w:rPr>
      </w:pPr>
    </w:p>
    <w:p w:rsidR="00DA631D" w:rsidRPr="008E6F2D" w:rsidRDefault="00DA631D" w:rsidP="006F0AA2">
      <w:pPr>
        <w:pStyle w:val="BodyText3"/>
        <w:jc w:val="both"/>
        <w:rPr>
          <w:lang w:val="en-US"/>
        </w:rPr>
      </w:pPr>
    </w:p>
    <w:sectPr w:rsidR="00DA631D" w:rsidRPr="008E6F2D" w:rsidSect="00FC4FE3">
      <w:type w:val="continuous"/>
      <w:pgSz w:w="12240" w:h="15840"/>
      <w:pgMar w:top="1267" w:right="900" w:bottom="907" w:left="1296" w:header="446" w:footer="706" w:gutter="0"/>
      <w:pgNumType w:fmt="lowerRoman"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428" w:rsidRDefault="00174428">
      <w:r>
        <w:separator/>
      </w:r>
    </w:p>
  </w:endnote>
  <w:endnote w:type="continuationSeparator" w:id="0">
    <w:p w:rsidR="00174428" w:rsidRDefault="0017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599" w:rsidRDefault="00FB15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1599" w:rsidRDefault="00FB15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599" w:rsidRDefault="00FB1599">
    <w:pPr>
      <w:pStyle w:val="Footer"/>
      <w:framePr w:wrap="around" w:vAnchor="text" w:hAnchor="margin" w:xAlign="center" w:y="1"/>
      <w:rPr>
        <w:rStyle w:val="PageNumber"/>
      </w:rPr>
    </w:pPr>
  </w:p>
  <w:p w:rsidR="00FB1599" w:rsidRDefault="00FB1599">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428" w:rsidRDefault="00174428">
      <w:r>
        <w:separator/>
      </w:r>
    </w:p>
  </w:footnote>
  <w:footnote w:type="continuationSeparator" w:id="0">
    <w:p w:rsidR="00174428" w:rsidRDefault="00174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599" w:rsidRPr="001A3254" w:rsidRDefault="00084718" w:rsidP="006122B4">
    <w:pPr>
      <w:pStyle w:val="Header"/>
      <w:rPr>
        <w:rFonts w:ascii="Leelawadee" w:hAnsi="Leelawadee" w:cs="Leelawadee"/>
        <w:caps w:val="0"/>
        <w:sz w:val="40"/>
        <w:szCs w:val="40"/>
      </w:rPr>
    </w:pPr>
    <w:r>
      <w:rPr>
        <w:rFonts w:ascii="Leelawadee" w:hAnsi="Leelawadee" w:cs="Leelawadee"/>
        <w:caps w:val="0"/>
        <w:sz w:val="40"/>
        <w:szCs w:val="40"/>
      </w:rPr>
      <w:t xml:space="preserve">General Fund - </w:t>
    </w:r>
    <w:r w:rsidR="00FB1599">
      <w:rPr>
        <w:rFonts w:ascii="Leelawadee" w:hAnsi="Leelawadee" w:cs="Leelawadee"/>
        <w:caps w:val="0"/>
        <w:sz w:val="40"/>
        <w:szCs w:val="40"/>
      </w:rPr>
      <w:t>Major Expenditure Categories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7E3B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8496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DEE4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D281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7068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A090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5AE56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E5C48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980E08"/>
    <w:lvl w:ilvl="0">
      <w:start w:val="1"/>
      <w:numFmt w:val="decimal"/>
      <w:pStyle w:val="ListNumber"/>
      <w:lvlText w:val="%1."/>
      <w:lvlJc w:val="left"/>
      <w:pPr>
        <w:tabs>
          <w:tab w:val="num" w:pos="360"/>
        </w:tabs>
        <w:ind w:left="360" w:hanging="360"/>
      </w:pPr>
    </w:lvl>
  </w:abstractNum>
  <w:abstractNum w:abstractNumId="9">
    <w:nsid w:val="FFFFFF89"/>
    <w:multiLevelType w:val="singleLevel"/>
    <w:tmpl w:val="E4EA9F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8D3A0C"/>
    <w:multiLevelType w:val="hybridMultilevel"/>
    <w:tmpl w:val="15C6C44C"/>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1AA0876"/>
    <w:multiLevelType w:val="hybridMultilevel"/>
    <w:tmpl w:val="A5A8943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6D65D5E"/>
    <w:multiLevelType w:val="hybridMultilevel"/>
    <w:tmpl w:val="3C6433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EE35EAA"/>
    <w:multiLevelType w:val="hybridMultilevel"/>
    <w:tmpl w:val="F328D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FF1972"/>
    <w:multiLevelType w:val="hybridMultilevel"/>
    <w:tmpl w:val="D4ECF82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6">
    <w:nsid w:val="16915ABE"/>
    <w:multiLevelType w:val="hybridMultilevel"/>
    <w:tmpl w:val="E90865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E891F67"/>
    <w:multiLevelType w:val="hybridMultilevel"/>
    <w:tmpl w:val="9DD80B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246152EB"/>
    <w:multiLevelType w:val="hybridMultilevel"/>
    <w:tmpl w:val="85209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096B40"/>
    <w:multiLevelType w:val="hybridMultilevel"/>
    <w:tmpl w:val="91FC1E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EF3AC7"/>
    <w:multiLevelType w:val="hybridMultilevel"/>
    <w:tmpl w:val="38EA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5B1B90"/>
    <w:multiLevelType w:val="hybridMultilevel"/>
    <w:tmpl w:val="27287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F0428E"/>
    <w:multiLevelType w:val="hybridMultilevel"/>
    <w:tmpl w:val="E4B46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A2033F"/>
    <w:multiLevelType w:val="hybridMultilevel"/>
    <w:tmpl w:val="4876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327DCE"/>
    <w:multiLevelType w:val="hybridMultilevel"/>
    <w:tmpl w:val="142E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C26125"/>
    <w:multiLevelType w:val="hybridMultilevel"/>
    <w:tmpl w:val="23668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8855DAE"/>
    <w:multiLevelType w:val="hybridMultilevel"/>
    <w:tmpl w:val="D8CED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9852EE4"/>
    <w:multiLevelType w:val="hybridMultilevel"/>
    <w:tmpl w:val="43C66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71632F"/>
    <w:multiLevelType w:val="hybridMultilevel"/>
    <w:tmpl w:val="7DCA3A08"/>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9">
    <w:nsid w:val="50B5774B"/>
    <w:multiLevelType w:val="hybridMultilevel"/>
    <w:tmpl w:val="B01E07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4D23EC5"/>
    <w:multiLevelType w:val="hybridMultilevel"/>
    <w:tmpl w:val="A1C699AA"/>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1">
    <w:nsid w:val="561B0FC9"/>
    <w:multiLevelType w:val="hybridMultilevel"/>
    <w:tmpl w:val="65980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EB4E3A"/>
    <w:multiLevelType w:val="hybridMultilevel"/>
    <w:tmpl w:val="32EC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BDB7255"/>
    <w:multiLevelType w:val="hybridMultilevel"/>
    <w:tmpl w:val="0D5E3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CFF40A8"/>
    <w:multiLevelType w:val="hybridMultilevel"/>
    <w:tmpl w:val="D0CCB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7768D9"/>
    <w:multiLevelType w:val="hybridMultilevel"/>
    <w:tmpl w:val="40CC33D6"/>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E3C1867"/>
    <w:multiLevelType w:val="hybridMultilevel"/>
    <w:tmpl w:val="B6D49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634E39"/>
    <w:multiLevelType w:val="hybridMultilevel"/>
    <w:tmpl w:val="47026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19"/>
  </w:num>
  <w:num w:numId="13">
    <w:abstractNumId w:val="21"/>
  </w:num>
  <w:num w:numId="14">
    <w:abstractNumId w:val="24"/>
  </w:num>
  <w:num w:numId="15">
    <w:abstractNumId w:val="20"/>
  </w:num>
  <w:num w:numId="16">
    <w:abstractNumId w:val="23"/>
  </w:num>
  <w:num w:numId="17">
    <w:abstractNumId w:val="37"/>
  </w:num>
  <w:num w:numId="18">
    <w:abstractNumId w:val="31"/>
  </w:num>
  <w:num w:numId="19">
    <w:abstractNumId w:val="27"/>
  </w:num>
  <w:num w:numId="20">
    <w:abstractNumId w:val="36"/>
  </w:num>
  <w:num w:numId="21">
    <w:abstractNumId w:val="15"/>
  </w:num>
  <w:num w:numId="22">
    <w:abstractNumId w:val="12"/>
  </w:num>
  <w:num w:numId="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13"/>
  </w:num>
  <w:num w:numId="25">
    <w:abstractNumId w:val="33"/>
  </w:num>
  <w:num w:numId="26">
    <w:abstractNumId w:val="22"/>
  </w:num>
  <w:num w:numId="27">
    <w:abstractNumId w:val="35"/>
  </w:num>
  <w:num w:numId="28">
    <w:abstractNumId w:val="11"/>
  </w:num>
  <w:num w:numId="29">
    <w:abstractNumId w:val="29"/>
  </w:num>
  <w:num w:numId="30">
    <w:abstractNumId w:val="30"/>
  </w:num>
  <w:num w:numId="31">
    <w:abstractNumId w:val="28"/>
  </w:num>
  <w:num w:numId="32">
    <w:abstractNumId w:val="32"/>
  </w:num>
  <w:num w:numId="33">
    <w:abstractNumId w:val="25"/>
  </w:num>
  <w:num w:numId="34">
    <w:abstractNumId w:val="14"/>
  </w:num>
  <w:num w:numId="35">
    <w:abstractNumId w:val="16"/>
  </w:num>
  <w:num w:numId="36">
    <w:abstractNumId w:val="18"/>
  </w:num>
  <w:num w:numId="37">
    <w:abstractNumId w:val="26"/>
  </w:num>
  <w:num w:numId="38">
    <w:abstractNumId w:val="2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A6"/>
    <w:rsid w:val="000170D8"/>
    <w:rsid w:val="000171F8"/>
    <w:rsid w:val="00017232"/>
    <w:rsid w:val="00021123"/>
    <w:rsid w:val="0002185C"/>
    <w:rsid w:val="000267F9"/>
    <w:rsid w:val="00026A01"/>
    <w:rsid w:val="000318A9"/>
    <w:rsid w:val="0003368D"/>
    <w:rsid w:val="0003396D"/>
    <w:rsid w:val="00034D17"/>
    <w:rsid w:val="00040482"/>
    <w:rsid w:val="00041B10"/>
    <w:rsid w:val="00041CEE"/>
    <w:rsid w:val="000423F2"/>
    <w:rsid w:val="0004664A"/>
    <w:rsid w:val="000524DF"/>
    <w:rsid w:val="000525CC"/>
    <w:rsid w:val="0006508A"/>
    <w:rsid w:val="00066B73"/>
    <w:rsid w:val="00067A7E"/>
    <w:rsid w:val="00071164"/>
    <w:rsid w:val="00071A92"/>
    <w:rsid w:val="000756E9"/>
    <w:rsid w:val="00077EAD"/>
    <w:rsid w:val="000831E1"/>
    <w:rsid w:val="00084718"/>
    <w:rsid w:val="00091130"/>
    <w:rsid w:val="000A1D20"/>
    <w:rsid w:val="000A6D89"/>
    <w:rsid w:val="000B0D5F"/>
    <w:rsid w:val="000B1F0C"/>
    <w:rsid w:val="000B45FF"/>
    <w:rsid w:val="000C2214"/>
    <w:rsid w:val="000D2BE6"/>
    <w:rsid w:val="000D528B"/>
    <w:rsid w:val="000D5769"/>
    <w:rsid w:val="000D68C5"/>
    <w:rsid w:val="000D741E"/>
    <w:rsid w:val="000D7C04"/>
    <w:rsid w:val="000E2FBA"/>
    <w:rsid w:val="000E4DB0"/>
    <w:rsid w:val="000E54E6"/>
    <w:rsid w:val="000E6008"/>
    <w:rsid w:val="000F25F8"/>
    <w:rsid w:val="000F27D7"/>
    <w:rsid w:val="000F5FD9"/>
    <w:rsid w:val="000F7A55"/>
    <w:rsid w:val="0010147A"/>
    <w:rsid w:val="00104747"/>
    <w:rsid w:val="00106719"/>
    <w:rsid w:val="001108B0"/>
    <w:rsid w:val="00114F32"/>
    <w:rsid w:val="00120C66"/>
    <w:rsid w:val="00122A8F"/>
    <w:rsid w:val="001272F4"/>
    <w:rsid w:val="00130073"/>
    <w:rsid w:val="001313B1"/>
    <w:rsid w:val="00132DA5"/>
    <w:rsid w:val="00134BDF"/>
    <w:rsid w:val="00137579"/>
    <w:rsid w:val="001378CE"/>
    <w:rsid w:val="00141160"/>
    <w:rsid w:val="00141FBF"/>
    <w:rsid w:val="001446FA"/>
    <w:rsid w:val="00162C70"/>
    <w:rsid w:val="00162FB0"/>
    <w:rsid w:val="00163BDD"/>
    <w:rsid w:val="00174428"/>
    <w:rsid w:val="001773A6"/>
    <w:rsid w:val="001775FB"/>
    <w:rsid w:val="00180256"/>
    <w:rsid w:val="00180C20"/>
    <w:rsid w:val="00181F7E"/>
    <w:rsid w:val="00187022"/>
    <w:rsid w:val="00195CD5"/>
    <w:rsid w:val="001A3254"/>
    <w:rsid w:val="001A3DF4"/>
    <w:rsid w:val="001A64EB"/>
    <w:rsid w:val="001B30B1"/>
    <w:rsid w:val="001B5FB7"/>
    <w:rsid w:val="001C6897"/>
    <w:rsid w:val="001D383B"/>
    <w:rsid w:val="001D7071"/>
    <w:rsid w:val="001D7085"/>
    <w:rsid w:val="001E69F2"/>
    <w:rsid w:val="001E7F94"/>
    <w:rsid w:val="001F0777"/>
    <w:rsid w:val="001F4D13"/>
    <w:rsid w:val="001F6928"/>
    <w:rsid w:val="001F71D2"/>
    <w:rsid w:val="0020079F"/>
    <w:rsid w:val="002041B2"/>
    <w:rsid w:val="002058BB"/>
    <w:rsid w:val="002063EB"/>
    <w:rsid w:val="002073D0"/>
    <w:rsid w:val="00207B92"/>
    <w:rsid w:val="002106AB"/>
    <w:rsid w:val="00215378"/>
    <w:rsid w:val="002210AA"/>
    <w:rsid w:val="00221F59"/>
    <w:rsid w:val="002276E4"/>
    <w:rsid w:val="0023700A"/>
    <w:rsid w:val="00240E3E"/>
    <w:rsid w:val="002416C3"/>
    <w:rsid w:val="00244CC3"/>
    <w:rsid w:val="00244F67"/>
    <w:rsid w:val="00256610"/>
    <w:rsid w:val="00257D76"/>
    <w:rsid w:val="0026224E"/>
    <w:rsid w:val="002651FC"/>
    <w:rsid w:val="00266589"/>
    <w:rsid w:val="0027353B"/>
    <w:rsid w:val="00273E14"/>
    <w:rsid w:val="00274121"/>
    <w:rsid w:val="0027551E"/>
    <w:rsid w:val="00284907"/>
    <w:rsid w:val="002860FC"/>
    <w:rsid w:val="002954E4"/>
    <w:rsid w:val="002B16A3"/>
    <w:rsid w:val="002B325C"/>
    <w:rsid w:val="002B5ED9"/>
    <w:rsid w:val="002B73D2"/>
    <w:rsid w:val="002C16C2"/>
    <w:rsid w:val="002C4E55"/>
    <w:rsid w:val="002D05B7"/>
    <w:rsid w:val="002D1C77"/>
    <w:rsid w:val="002D5199"/>
    <w:rsid w:val="002D5EB2"/>
    <w:rsid w:val="002E1CAA"/>
    <w:rsid w:val="002E3384"/>
    <w:rsid w:val="002F7641"/>
    <w:rsid w:val="00303D68"/>
    <w:rsid w:val="00305F6F"/>
    <w:rsid w:val="00306199"/>
    <w:rsid w:val="00313497"/>
    <w:rsid w:val="0031716D"/>
    <w:rsid w:val="00317F5C"/>
    <w:rsid w:val="0032322D"/>
    <w:rsid w:val="0032323F"/>
    <w:rsid w:val="00333499"/>
    <w:rsid w:val="00335925"/>
    <w:rsid w:val="003365A9"/>
    <w:rsid w:val="00336A85"/>
    <w:rsid w:val="00340E04"/>
    <w:rsid w:val="00353989"/>
    <w:rsid w:val="00365EC2"/>
    <w:rsid w:val="003668E1"/>
    <w:rsid w:val="00366F01"/>
    <w:rsid w:val="003745F8"/>
    <w:rsid w:val="00377931"/>
    <w:rsid w:val="00380752"/>
    <w:rsid w:val="003824E2"/>
    <w:rsid w:val="00387C96"/>
    <w:rsid w:val="003B4A9A"/>
    <w:rsid w:val="003B62C6"/>
    <w:rsid w:val="003B7654"/>
    <w:rsid w:val="003C15BB"/>
    <w:rsid w:val="003C48A0"/>
    <w:rsid w:val="003C56C1"/>
    <w:rsid w:val="003C7671"/>
    <w:rsid w:val="003D5D0B"/>
    <w:rsid w:val="003D7131"/>
    <w:rsid w:val="003E48E7"/>
    <w:rsid w:val="003E56DD"/>
    <w:rsid w:val="003F084E"/>
    <w:rsid w:val="003F28DA"/>
    <w:rsid w:val="003F2D69"/>
    <w:rsid w:val="003F7BFE"/>
    <w:rsid w:val="004038C9"/>
    <w:rsid w:val="00410400"/>
    <w:rsid w:val="00414925"/>
    <w:rsid w:val="00416AEE"/>
    <w:rsid w:val="004227EE"/>
    <w:rsid w:val="00425749"/>
    <w:rsid w:val="00430D82"/>
    <w:rsid w:val="0043158D"/>
    <w:rsid w:val="00431CE0"/>
    <w:rsid w:val="00432037"/>
    <w:rsid w:val="004343F8"/>
    <w:rsid w:val="004364F2"/>
    <w:rsid w:val="00441800"/>
    <w:rsid w:val="004429CC"/>
    <w:rsid w:val="00443D97"/>
    <w:rsid w:val="00446B3A"/>
    <w:rsid w:val="00453274"/>
    <w:rsid w:val="00453B55"/>
    <w:rsid w:val="00453D11"/>
    <w:rsid w:val="00455556"/>
    <w:rsid w:val="004574A6"/>
    <w:rsid w:val="0046609C"/>
    <w:rsid w:val="004730EE"/>
    <w:rsid w:val="0047565E"/>
    <w:rsid w:val="00483A05"/>
    <w:rsid w:val="00492589"/>
    <w:rsid w:val="0049575F"/>
    <w:rsid w:val="00495C57"/>
    <w:rsid w:val="004A38E5"/>
    <w:rsid w:val="004A614F"/>
    <w:rsid w:val="004B16F2"/>
    <w:rsid w:val="004B390C"/>
    <w:rsid w:val="004B457D"/>
    <w:rsid w:val="004B49A3"/>
    <w:rsid w:val="004B7B8A"/>
    <w:rsid w:val="004C2B29"/>
    <w:rsid w:val="004C76EB"/>
    <w:rsid w:val="004C7BBF"/>
    <w:rsid w:val="004D22F9"/>
    <w:rsid w:val="004E1D66"/>
    <w:rsid w:val="004E3E06"/>
    <w:rsid w:val="004F112B"/>
    <w:rsid w:val="004F2531"/>
    <w:rsid w:val="004F3DF3"/>
    <w:rsid w:val="004F47E2"/>
    <w:rsid w:val="004F5A64"/>
    <w:rsid w:val="004F79EA"/>
    <w:rsid w:val="00503C5B"/>
    <w:rsid w:val="00506C6C"/>
    <w:rsid w:val="00516631"/>
    <w:rsid w:val="00517772"/>
    <w:rsid w:val="00523039"/>
    <w:rsid w:val="005236E4"/>
    <w:rsid w:val="00533444"/>
    <w:rsid w:val="005342EA"/>
    <w:rsid w:val="0053704C"/>
    <w:rsid w:val="005451DE"/>
    <w:rsid w:val="00550146"/>
    <w:rsid w:val="005503FE"/>
    <w:rsid w:val="0055493A"/>
    <w:rsid w:val="00557BBE"/>
    <w:rsid w:val="00562B24"/>
    <w:rsid w:val="00567640"/>
    <w:rsid w:val="005713A3"/>
    <w:rsid w:val="005761D1"/>
    <w:rsid w:val="005803F0"/>
    <w:rsid w:val="00581C60"/>
    <w:rsid w:val="00584D81"/>
    <w:rsid w:val="00587391"/>
    <w:rsid w:val="0059599F"/>
    <w:rsid w:val="00595FFF"/>
    <w:rsid w:val="00597390"/>
    <w:rsid w:val="005A2C1F"/>
    <w:rsid w:val="005A3CD0"/>
    <w:rsid w:val="005B6820"/>
    <w:rsid w:val="005C73F7"/>
    <w:rsid w:val="005E006D"/>
    <w:rsid w:val="005E09CE"/>
    <w:rsid w:val="005E61D4"/>
    <w:rsid w:val="005F49A6"/>
    <w:rsid w:val="005F5616"/>
    <w:rsid w:val="005F6495"/>
    <w:rsid w:val="005F7A80"/>
    <w:rsid w:val="005F7AC8"/>
    <w:rsid w:val="006017BD"/>
    <w:rsid w:val="00604ABD"/>
    <w:rsid w:val="00604CC5"/>
    <w:rsid w:val="00610C49"/>
    <w:rsid w:val="00611DAD"/>
    <w:rsid w:val="006122B4"/>
    <w:rsid w:val="00612714"/>
    <w:rsid w:val="0061495E"/>
    <w:rsid w:val="00617C16"/>
    <w:rsid w:val="006232AF"/>
    <w:rsid w:val="00626DC2"/>
    <w:rsid w:val="00627604"/>
    <w:rsid w:val="006360F4"/>
    <w:rsid w:val="006424B3"/>
    <w:rsid w:val="006476AB"/>
    <w:rsid w:val="00651BCC"/>
    <w:rsid w:val="00655D94"/>
    <w:rsid w:val="00656322"/>
    <w:rsid w:val="006678AC"/>
    <w:rsid w:val="00670740"/>
    <w:rsid w:val="0067636A"/>
    <w:rsid w:val="00676B32"/>
    <w:rsid w:val="00683034"/>
    <w:rsid w:val="00685522"/>
    <w:rsid w:val="0069143F"/>
    <w:rsid w:val="00694ECB"/>
    <w:rsid w:val="00696A03"/>
    <w:rsid w:val="006A59FD"/>
    <w:rsid w:val="006A6545"/>
    <w:rsid w:val="006B5A52"/>
    <w:rsid w:val="006D2889"/>
    <w:rsid w:val="006E2EDC"/>
    <w:rsid w:val="006E4E58"/>
    <w:rsid w:val="006E71CD"/>
    <w:rsid w:val="006F0AA2"/>
    <w:rsid w:val="006F0EC2"/>
    <w:rsid w:val="007013EB"/>
    <w:rsid w:val="00716AD6"/>
    <w:rsid w:val="00721D95"/>
    <w:rsid w:val="007236D6"/>
    <w:rsid w:val="007239DA"/>
    <w:rsid w:val="007241B5"/>
    <w:rsid w:val="00732FC2"/>
    <w:rsid w:val="00733E68"/>
    <w:rsid w:val="0073404B"/>
    <w:rsid w:val="00735D70"/>
    <w:rsid w:val="00735DF0"/>
    <w:rsid w:val="0073692A"/>
    <w:rsid w:val="00736D1F"/>
    <w:rsid w:val="00737855"/>
    <w:rsid w:val="00741725"/>
    <w:rsid w:val="00742C3D"/>
    <w:rsid w:val="00752BEC"/>
    <w:rsid w:val="007531AE"/>
    <w:rsid w:val="00753F09"/>
    <w:rsid w:val="007657C8"/>
    <w:rsid w:val="007756BF"/>
    <w:rsid w:val="00775F7B"/>
    <w:rsid w:val="00776281"/>
    <w:rsid w:val="007909D8"/>
    <w:rsid w:val="007940C9"/>
    <w:rsid w:val="00794A0E"/>
    <w:rsid w:val="007975EC"/>
    <w:rsid w:val="007979EF"/>
    <w:rsid w:val="007B3656"/>
    <w:rsid w:val="007C3E9E"/>
    <w:rsid w:val="007C71B5"/>
    <w:rsid w:val="007D6720"/>
    <w:rsid w:val="007D6B31"/>
    <w:rsid w:val="007D71CE"/>
    <w:rsid w:val="007E0AA8"/>
    <w:rsid w:val="007E2EF3"/>
    <w:rsid w:val="007F201D"/>
    <w:rsid w:val="007F41E3"/>
    <w:rsid w:val="008002B4"/>
    <w:rsid w:val="00803794"/>
    <w:rsid w:val="008166EF"/>
    <w:rsid w:val="0082776C"/>
    <w:rsid w:val="008342F5"/>
    <w:rsid w:val="00837676"/>
    <w:rsid w:val="008378DA"/>
    <w:rsid w:val="00841E92"/>
    <w:rsid w:val="00843755"/>
    <w:rsid w:val="00845049"/>
    <w:rsid w:val="00847609"/>
    <w:rsid w:val="00851E3E"/>
    <w:rsid w:val="00851ED1"/>
    <w:rsid w:val="00854EC1"/>
    <w:rsid w:val="00855D24"/>
    <w:rsid w:val="00857859"/>
    <w:rsid w:val="008608C1"/>
    <w:rsid w:val="0086463B"/>
    <w:rsid w:val="00864E51"/>
    <w:rsid w:val="00865C48"/>
    <w:rsid w:val="00870E03"/>
    <w:rsid w:val="008800A8"/>
    <w:rsid w:val="00880D54"/>
    <w:rsid w:val="00882700"/>
    <w:rsid w:val="008931CF"/>
    <w:rsid w:val="00893694"/>
    <w:rsid w:val="008A1B12"/>
    <w:rsid w:val="008A1D50"/>
    <w:rsid w:val="008A37E7"/>
    <w:rsid w:val="008A5931"/>
    <w:rsid w:val="008A7F22"/>
    <w:rsid w:val="008B0183"/>
    <w:rsid w:val="008B158A"/>
    <w:rsid w:val="008B43F7"/>
    <w:rsid w:val="008B6C2A"/>
    <w:rsid w:val="008C085F"/>
    <w:rsid w:val="008C1115"/>
    <w:rsid w:val="008C7022"/>
    <w:rsid w:val="008E3E36"/>
    <w:rsid w:val="008E4BB4"/>
    <w:rsid w:val="008E6F2D"/>
    <w:rsid w:val="008E714D"/>
    <w:rsid w:val="008E7B74"/>
    <w:rsid w:val="008F018C"/>
    <w:rsid w:val="008F5211"/>
    <w:rsid w:val="009006E5"/>
    <w:rsid w:val="00900B51"/>
    <w:rsid w:val="00902415"/>
    <w:rsid w:val="009063A1"/>
    <w:rsid w:val="00916309"/>
    <w:rsid w:val="00921E2E"/>
    <w:rsid w:val="00924BDE"/>
    <w:rsid w:val="00925552"/>
    <w:rsid w:val="00926BBB"/>
    <w:rsid w:val="00930390"/>
    <w:rsid w:val="00931D04"/>
    <w:rsid w:val="00934458"/>
    <w:rsid w:val="00935417"/>
    <w:rsid w:val="00935A5B"/>
    <w:rsid w:val="00940823"/>
    <w:rsid w:val="00942009"/>
    <w:rsid w:val="009451A3"/>
    <w:rsid w:val="00946003"/>
    <w:rsid w:val="00950037"/>
    <w:rsid w:val="0095126E"/>
    <w:rsid w:val="009563C0"/>
    <w:rsid w:val="0096336D"/>
    <w:rsid w:val="0096679F"/>
    <w:rsid w:val="00970760"/>
    <w:rsid w:val="009734C6"/>
    <w:rsid w:val="009743CF"/>
    <w:rsid w:val="009769EF"/>
    <w:rsid w:val="00976C90"/>
    <w:rsid w:val="009777ED"/>
    <w:rsid w:val="00980503"/>
    <w:rsid w:val="00982146"/>
    <w:rsid w:val="009848D2"/>
    <w:rsid w:val="00992A11"/>
    <w:rsid w:val="0099648E"/>
    <w:rsid w:val="00996F3C"/>
    <w:rsid w:val="009B4B2C"/>
    <w:rsid w:val="009B7426"/>
    <w:rsid w:val="009C1E33"/>
    <w:rsid w:val="009C30EF"/>
    <w:rsid w:val="009D277D"/>
    <w:rsid w:val="009D621C"/>
    <w:rsid w:val="009D62A7"/>
    <w:rsid w:val="009F031F"/>
    <w:rsid w:val="009F5CAC"/>
    <w:rsid w:val="009F5F94"/>
    <w:rsid w:val="00A00A32"/>
    <w:rsid w:val="00A00EEA"/>
    <w:rsid w:val="00A13B7E"/>
    <w:rsid w:val="00A14832"/>
    <w:rsid w:val="00A169F6"/>
    <w:rsid w:val="00A220E2"/>
    <w:rsid w:val="00A233E8"/>
    <w:rsid w:val="00A32E2D"/>
    <w:rsid w:val="00A40980"/>
    <w:rsid w:val="00A44C92"/>
    <w:rsid w:val="00A45730"/>
    <w:rsid w:val="00A5063E"/>
    <w:rsid w:val="00A530B8"/>
    <w:rsid w:val="00A54632"/>
    <w:rsid w:val="00A55211"/>
    <w:rsid w:val="00A55E30"/>
    <w:rsid w:val="00A626D3"/>
    <w:rsid w:val="00A7160B"/>
    <w:rsid w:val="00A724D9"/>
    <w:rsid w:val="00A74975"/>
    <w:rsid w:val="00A81EAF"/>
    <w:rsid w:val="00A9041D"/>
    <w:rsid w:val="00A95F72"/>
    <w:rsid w:val="00AA2409"/>
    <w:rsid w:val="00AB0E04"/>
    <w:rsid w:val="00AB16E4"/>
    <w:rsid w:val="00AB72CD"/>
    <w:rsid w:val="00AC0C7B"/>
    <w:rsid w:val="00AC5724"/>
    <w:rsid w:val="00AD010B"/>
    <w:rsid w:val="00AE1670"/>
    <w:rsid w:val="00AE2CF3"/>
    <w:rsid w:val="00AE4235"/>
    <w:rsid w:val="00AE5618"/>
    <w:rsid w:val="00AE5C68"/>
    <w:rsid w:val="00AE5E70"/>
    <w:rsid w:val="00AE6929"/>
    <w:rsid w:val="00AE6DFE"/>
    <w:rsid w:val="00AE6FCC"/>
    <w:rsid w:val="00AF325F"/>
    <w:rsid w:val="00AF528D"/>
    <w:rsid w:val="00B04541"/>
    <w:rsid w:val="00B0467B"/>
    <w:rsid w:val="00B048D5"/>
    <w:rsid w:val="00B07D2B"/>
    <w:rsid w:val="00B10BE1"/>
    <w:rsid w:val="00B2644A"/>
    <w:rsid w:val="00B26C00"/>
    <w:rsid w:val="00B32566"/>
    <w:rsid w:val="00B34D1C"/>
    <w:rsid w:val="00B40C3F"/>
    <w:rsid w:val="00B42EBA"/>
    <w:rsid w:val="00B46AFF"/>
    <w:rsid w:val="00B52CAA"/>
    <w:rsid w:val="00B554FD"/>
    <w:rsid w:val="00B56FAF"/>
    <w:rsid w:val="00B64513"/>
    <w:rsid w:val="00B74DCF"/>
    <w:rsid w:val="00B80C3A"/>
    <w:rsid w:val="00B82966"/>
    <w:rsid w:val="00B83B85"/>
    <w:rsid w:val="00B85119"/>
    <w:rsid w:val="00B95CA6"/>
    <w:rsid w:val="00B97C34"/>
    <w:rsid w:val="00BA7BED"/>
    <w:rsid w:val="00BB77BC"/>
    <w:rsid w:val="00BC1DE0"/>
    <w:rsid w:val="00BC2279"/>
    <w:rsid w:val="00BC7CD5"/>
    <w:rsid w:val="00BD13B3"/>
    <w:rsid w:val="00BD2303"/>
    <w:rsid w:val="00BD4BC4"/>
    <w:rsid w:val="00BE002D"/>
    <w:rsid w:val="00BE3AD1"/>
    <w:rsid w:val="00BE5FF6"/>
    <w:rsid w:val="00BF249B"/>
    <w:rsid w:val="00BF48A8"/>
    <w:rsid w:val="00C070CC"/>
    <w:rsid w:val="00C13FBA"/>
    <w:rsid w:val="00C143C3"/>
    <w:rsid w:val="00C169C7"/>
    <w:rsid w:val="00C20D14"/>
    <w:rsid w:val="00C21439"/>
    <w:rsid w:val="00C224CB"/>
    <w:rsid w:val="00C274E5"/>
    <w:rsid w:val="00C31FC1"/>
    <w:rsid w:val="00C46C7B"/>
    <w:rsid w:val="00C47040"/>
    <w:rsid w:val="00C47BC7"/>
    <w:rsid w:val="00C5593E"/>
    <w:rsid w:val="00C57750"/>
    <w:rsid w:val="00C72C9C"/>
    <w:rsid w:val="00C73326"/>
    <w:rsid w:val="00C76378"/>
    <w:rsid w:val="00C76948"/>
    <w:rsid w:val="00C80150"/>
    <w:rsid w:val="00C827A3"/>
    <w:rsid w:val="00C87FCF"/>
    <w:rsid w:val="00C951EC"/>
    <w:rsid w:val="00C95BEB"/>
    <w:rsid w:val="00C969BA"/>
    <w:rsid w:val="00C96B74"/>
    <w:rsid w:val="00CA247C"/>
    <w:rsid w:val="00CB0BAE"/>
    <w:rsid w:val="00CB17C3"/>
    <w:rsid w:val="00CB44B5"/>
    <w:rsid w:val="00CB712E"/>
    <w:rsid w:val="00CC55C8"/>
    <w:rsid w:val="00CC62C2"/>
    <w:rsid w:val="00CD1A6F"/>
    <w:rsid w:val="00CE151D"/>
    <w:rsid w:val="00CE199B"/>
    <w:rsid w:val="00CF2BC9"/>
    <w:rsid w:val="00CF4F02"/>
    <w:rsid w:val="00CF5115"/>
    <w:rsid w:val="00D0124D"/>
    <w:rsid w:val="00D0296F"/>
    <w:rsid w:val="00D0307F"/>
    <w:rsid w:val="00D055DB"/>
    <w:rsid w:val="00D07058"/>
    <w:rsid w:val="00D15DAD"/>
    <w:rsid w:val="00D31271"/>
    <w:rsid w:val="00D317E6"/>
    <w:rsid w:val="00D36964"/>
    <w:rsid w:val="00D434AA"/>
    <w:rsid w:val="00D43A0E"/>
    <w:rsid w:val="00D43A99"/>
    <w:rsid w:val="00D4484F"/>
    <w:rsid w:val="00D452DC"/>
    <w:rsid w:val="00D45A7C"/>
    <w:rsid w:val="00D45DA2"/>
    <w:rsid w:val="00D47314"/>
    <w:rsid w:val="00D50BA3"/>
    <w:rsid w:val="00D54596"/>
    <w:rsid w:val="00D57AF5"/>
    <w:rsid w:val="00D61F39"/>
    <w:rsid w:val="00D627F7"/>
    <w:rsid w:val="00D67F93"/>
    <w:rsid w:val="00D71A6E"/>
    <w:rsid w:val="00D73C35"/>
    <w:rsid w:val="00D763BC"/>
    <w:rsid w:val="00D82BDB"/>
    <w:rsid w:val="00D83007"/>
    <w:rsid w:val="00D84F04"/>
    <w:rsid w:val="00D8736E"/>
    <w:rsid w:val="00DA437B"/>
    <w:rsid w:val="00DA631D"/>
    <w:rsid w:val="00DA74F4"/>
    <w:rsid w:val="00DB14C1"/>
    <w:rsid w:val="00DB308F"/>
    <w:rsid w:val="00DB7FF7"/>
    <w:rsid w:val="00DC481F"/>
    <w:rsid w:val="00DD1465"/>
    <w:rsid w:val="00DD24DF"/>
    <w:rsid w:val="00DD7362"/>
    <w:rsid w:val="00DE31BD"/>
    <w:rsid w:val="00DF635E"/>
    <w:rsid w:val="00E002E1"/>
    <w:rsid w:val="00E00E39"/>
    <w:rsid w:val="00E02EC4"/>
    <w:rsid w:val="00E02F14"/>
    <w:rsid w:val="00E05589"/>
    <w:rsid w:val="00E06D1A"/>
    <w:rsid w:val="00E07E0D"/>
    <w:rsid w:val="00E1049B"/>
    <w:rsid w:val="00E144AE"/>
    <w:rsid w:val="00E16C91"/>
    <w:rsid w:val="00E202B0"/>
    <w:rsid w:val="00E24CCA"/>
    <w:rsid w:val="00E30E86"/>
    <w:rsid w:val="00E36A22"/>
    <w:rsid w:val="00E40860"/>
    <w:rsid w:val="00E41836"/>
    <w:rsid w:val="00E532B1"/>
    <w:rsid w:val="00E532EA"/>
    <w:rsid w:val="00E57EC6"/>
    <w:rsid w:val="00E623A5"/>
    <w:rsid w:val="00E62616"/>
    <w:rsid w:val="00E63492"/>
    <w:rsid w:val="00E67C20"/>
    <w:rsid w:val="00E70C85"/>
    <w:rsid w:val="00E717A1"/>
    <w:rsid w:val="00E73A70"/>
    <w:rsid w:val="00E757AD"/>
    <w:rsid w:val="00E82BDE"/>
    <w:rsid w:val="00E83043"/>
    <w:rsid w:val="00E84426"/>
    <w:rsid w:val="00E84BB4"/>
    <w:rsid w:val="00E85059"/>
    <w:rsid w:val="00E8718F"/>
    <w:rsid w:val="00E942EA"/>
    <w:rsid w:val="00E9456B"/>
    <w:rsid w:val="00E949CB"/>
    <w:rsid w:val="00EA44D1"/>
    <w:rsid w:val="00EA4F6A"/>
    <w:rsid w:val="00EA5D96"/>
    <w:rsid w:val="00EA64C7"/>
    <w:rsid w:val="00EB2C65"/>
    <w:rsid w:val="00EB42E3"/>
    <w:rsid w:val="00EB48F0"/>
    <w:rsid w:val="00EC385E"/>
    <w:rsid w:val="00EC5427"/>
    <w:rsid w:val="00EC59A9"/>
    <w:rsid w:val="00ED20D4"/>
    <w:rsid w:val="00ED3AB6"/>
    <w:rsid w:val="00ED50C9"/>
    <w:rsid w:val="00EE2DA8"/>
    <w:rsid w:val="00EE5C8A"/>
    <w:rsid w:val="00EF004D"/>
    <w:rsid w:val="00EF48FC"/>
    <w:rsid w:val="00EF4CC8"/>
    <w:rsid w:val="00EF54E9"/>
    <w:rsid w:val="00EF6C41"/>
    <w:rsid w:val="00EF6CFE"/>
    <w:rsid w:val="00EF76EF"/>
    <w:rsid w:val="00F03DF7"/>
    <w:rsid w:val="00F10F09"/>
    <w:rsid w:val="00F136DA"/>
    <w:rsid w:val="00F14B5D"/>
    <w:rsid w:val="00F15A5F"/>
    <w:rsid w:val="00F1757A"/>
    <w:rsid w:val="00F242E5"/>
    <w:rsid w:val="00F2548C"/>
    <w:rsid w:val="00F304A7"/>
    <w:rsid w:val="00F37DF9"/>
    <w:rsid w:val="00F41B5E"/>
    <w:rsid w:val="00F43D34"/>
    <w:rsid w:val="00F463AE"/>
    <w:rsid w:val="00F479A9"/>
    <w:rsid w:val="00F62BA6"/>
    <w:rsid w:val="00F6713B"/>
    <w:rsid w:val="00F70991"/>
    <w:rsid w:val="00F711D8"/>
    <w:rsid w:val="00F72707"/>
    <w:rsid w:val="00F77DD9"/>
    <w:rsid w:val="00F830C3"/>
    <w:rsid w:val="00F84A03"/>
    <w:rsid w:val="00F85990"/>
    <w:rsid w:val="00F93C23"/>
    <w:rsid w:val="00F9401E"/>
    <w:rsid w:val="00F94B96"/>
    <w:rsid w:val="00F96F23"/>
    <w:rsid w:val="00FB00D0"/>
    <w:rsid w:val="00FB1599"/>
    <w:rsid w:val="00FB2EE3"/>
    <w:rsid w:val="00FC01AF"/>
    <w:rsid w:val="00FC2EE2"/>
    <w:rsid w:val="00FC4FE3"/>
    <w:rsid w:val="00FC557A"/>
    <w:rsid w:val="00FC7961"/>
    <w:rsid w:val="00FE0031"/>
    <w:rsid w:val="00FE2186"/>
    <w:rsid w:val="00FE2CFA"/>
    <w:rsid w:val="00FE5CCE"/>
    <w:rsid w:val="00FF188F"/>
    <w:rsid w:val="00FF4D62"/>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rPr>
      <w:lang w:val="x-none" w:eastAsia="x-none"/>
    </w:r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sz w:val="16"/>
      <w:szCs w:val="16"/>
      <w:lang w:val="x-none" w:eastAsia="x-none"/>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rPr>
      <w:lang w:val="x-none" w:eastAsia="x-none"/>
    </w:r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sz w:val="16"/>
      <w:szCs w:val="16"/>
      <w:lang w:val="x-none" w:eastAsia="x-none"/>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95424">
      <w:bodyDiv w:val="1"/>
      <w:marLeft w:val="0"/>
      <w:marRight w:val="0"/>
      <w:marTop w:val="0"/>
      <w:marBottom w:val="0"/>
      <w:divBdr>
        <w:top w:val="none" w:sz="0" w:space="0" w:color="auto"/>
        <w:left w:val="none" w:sz="0" w:space="0" w:color="auto"/>
        <w:bottom w:val="none" w:sz="0" w:space="0" w:color="auto"/>
        <w:right w:val="none" w:sz="0" w:space="0" w:color="auto"/>
      </w:divBdr>
    </w:div>
    <w:div w:id="8980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9697DE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3DBA3-9D3F-46FD-8706-6CA79CF5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9697DEPT.DOT</Template>
  <TotalTime>12</TotalTime>
  <Pages>3</Pages>
  <Words>463</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MISSION</vt:lpstr>
    </vt:vector>
  </TitlesOfParts>
  <Company>City of Fort Lauderdale</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dc:title>
  <dc:creator>Information Systems</dc:creator>
  <cp:lastModifiedBy>Diane Lichenstein</cp:lastModifiedBy>
  <cp:revision>3</cp:revision>
  <cp:lastPrinted>2014-06-25T23:02:00Z</cp:lastPrinted>
  <dcterms:created xsi:type="dcterms:W3CDTF">2014-06-21T22:02:00Z</dcterms:created>
  <dcterms:modified xsi:type="dcterms:W3CDTF">2014-06-25T23:05:00Z</dcterms:modified>
</cp:coreProperties>
</file>