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3388C" w:rsidRDefault="00B76E6F" w:rsidP="000913C2">
      <w:pPr>
        <w:pStyle w:val="BodyTextIndent"/>
        <w:ind w:firstLine="0"/>
        <w:rPr>
          <w:rFonts w:ascii="Calibri" w:hAnsi="Calibri" w:cs="Calibri"/>
          <w:sz w:val="23"/>
          <w:szCs w:val="23"/>
        </w:rPr>
      </w:pPr>
      <w:bookmarkStart w:id="0" w:name="OLE_LINK2"/>
      <w:bookmarkStart w:id="1" w:name="OLE_LINK1"/>
      <w:r w:rsidRPr="009738EB">
        <w:rPr>
          <w:rFonts w:ascii="Calibri" w:hAnsi="Calibri" w:cs="Calibri"/>
          <w:sz w:val="23"/>
          <w:szCs w:val="23"/>
        </w:rPr>
        <w:t xml:space="preserve">Ending fund balances are shown for the General Fund and all </w:t>
      </w:r>
      <w:r w:rsidR="00F429EE" w:rsidRPr="009738EB">
        <w:rPr>
          <w:rFonts w:ascii="Calibri" w:hAnsi="Calibri" w:cs="Calibri"/>
          <w:sz w:val="23"/>
          <w:szCs w:val="23"/>
        </w:rPr>
        <w:t>o</w:t>
      </w:r>
      <w:r w:rsidRPr="009738EB">
        <w:rPr>
          <w:rFonts w:ascii="Calibri" w:hAnsi="Calibri" w:cs="Calibri"/>
          <w:sz w:val="23"/>
          <w:szCs w:val="23"/>
        </w:rPr>
        <w:t xml:space="preserve">ther </w:t>
      </w:r>
      <w:r w:rsidR="00F429EE" w:rsidRPr="009738EB">
        <w:rPr>
          <w:rFonts w:ascii="Calibri" w:hAnsi="Calibri" w:cs="Calibri"/>
          <w:sz w:val="23"/>
          <w:szCs w:val="23"/>
        </w:rPr>
        <w:t>f</w:t>
      </w:r>
      <w:r w:rsidR="009738EB">
        <w:rPr>
          <w:rFonts w:ascii="Calibri" w:hAnsi="Calibri" w:cs="Calibri"/>
          <w:sz w:val="23"/>
          <w:szCs w:val="23"/>
        </w:rPr>
        <w:t>unds.</w:t>
      </w:r>
      <w:r w:rsidRPr="009738EB">
        <w:rPr>
          <w:rFonts w:ascii="Calibri" w:hAnsi="Calibri" w:cs="Calibri"/>
          <w:sz w:val="23"/>
          <w:szCs w:val="23"/>
        </w:rPr>
        <w:t xml:space="preserve"> </w:t>
      </w:r>
      <w:r w:rsidR="00E265ED" w:rsidRPr="009738EB">
        <w:rPr>
          <w:rFonts w:ascii="Calibri" w:hAnsi="Calibri" w:cs="Calibri"/>
          <w:sz w:val="23"/>
          <w:szCs w:val="23"/>
        </w:rPr>
        <w:t xml:space="preserve">The </w:t>
      </w:r>
      <w:r w:rsidR="00D3388C">
        <w:rPr>
          <w:rFonts w:ascii="Calibri" w:hAnsi="Calibri" w:cs="Calibri"/>
          <w:sz w:val="23"/>
          <w:szCs w:val="23"/>
        </w:rPr>
        <w:t>Proprietary</w:t>
      </w:r>
      <w:r w:rsidRPr="009738EB">
        <w:rPr>
          <w:rFonts w:ascii="Calibri" w:hAnsi="Calibri" w:cs="Calibri"/>
          <w:sz w:val="23"/>
          <w:szCs w:val="23"/>
        </w:rPr>
        <w:t xml:space="preserve"> Fund balance</w:t>
      </w:r>
      <w:r w:rsidR="009C46A2" w:rsidRPr="009738EB">
        <w:rPr>
          <w:rFonts w:ascii="Calibri" w:hAnsi="Calibri" w:cs="Calibri"/>
          <w:sz w:val="23"/>
          <w:szCs w:val="23"/>
        </w:rPr>
        <w:t>s</w:t>
      </w:r>
      <w:r w:rsidRPr="009738EB">
        <w:rPr>
          <w:rFonts w:ascii="Calibri" w:hAnsi="Calibri" w:cs="Calibri"/>
          <w:sz w:val="23"/>
          <w:szCs w:val="23"/>
        </w:rPr>
        <w:t xml:space="preserve"> </w:t>
      </w:r>
      <w:r w:rsidR="009C46A2" w:rsidRPr="009738EB">
        <w:rPr>
          <w:rFonts w:ascii="Calibri" w:hAnsi="Calibri" w:cs="Calibri"/>
          <w:sz w:val="23"/>
          <w:szCs w:val="23"/>
        </w:rPr>
        <w:t>are</w:t>
      </w:r>
      <w:r w:rsidRPr="009738EB">
        <w:rPr>
          <w:rFonts w:ascii="Calibri" w:hAnsi="Calibri" w:cs="Calibri"/>
          <w:sz w:val="23"/>
          <w:szCs w:val="23"/>
        </w:rPr>
        <w:t xml:space="preserve"> a calculated amount since the accounting is different for proprietary f</w:t>
      </w:r>
      <w:r w:rsidR="009738EB">
        <w:rPr>
          <w:rFonts w:ascii="Calibri" w:hAnsi="Calibri" w:cs="Calibri"/>
          <w:sz w:val="23"/>
          <w:szCs w:val="23"/>
        </w:rPr>
        <w:t xml:space="preserve">unds </w:t>
      </w:r>
      <w:r w:rsidR="00D3388C">
        <w:rPr>
          <w:rFonts w:ascii="Calibri" w:hAnsi="Calibri" w:cs="Calibri"/>
          <w:sz w:val="23"/>
          <w:szCs w:val="23"/>
        </w:rPr>
        <w:t>as compared to</w:t>
      </w:r>
      <w:r w:rsidR="009738EB">
        <w:rPr>
          <w:rFonts w:ascii="Calibri" w:hAnsi="Calibri" w:cs="Calibri"/>
          <w:sz w:val="23"/>
          <w:szCs w:val="23"/>
        </w:rPr>
        <w:t xml:space="preserve"> governmental funds</w:t>
      </w:r>
      <w:r w:rsidR="00D3388C">
        <w:rPr>
          <w:rFonts w:ascii="Calibri" w:hAnsi="Calibri" w:cs="Calibri"/>
          <w:sz w:val="23"/>
          <w:szCs w:val="23"/>
        </w:rPr>
        <w:t xml:space="preserve"> such as the General Fund</w:t>
      </w:r>
      <w:r w:rsidR="009738EB">
        <w:rPr>
          <w:rFonts w:ascii="Calibri" w:hAnsi="Calibri" w:cs="Calibri"/>
          <w:sz w:val="23"/>
          <w:szCs w:val="23"/>
        </w:rPr>
        <w:t>.</w:t>
      </w:r>
      <w:r w:rsidRPr="009738EB">
        <w:rPr>
          <w:rFonts w:ascii="Calibri" w:hAnsi="Calibri" w:cs="Calibri"/>
          <w:sz w:val="23"/>
          <w:szCs w:val="23"/>
        </w:rPr>
        <w:t xml:space="preserve"> </w:t>
      </w:r>
      <w:r w:rsidR="001707C1" w:rsidRPr="009738EB">
        <w:rPr>
          <w:rFonts w:ascii="Calibri" w:hAnsi="Calibri" w:cs="Calibri"/>
          <w:sz w:val="23"/>
          <w:szCs w:val="23"/>
        </w:rPr>
        <w:t xml:space="preserve">The </w:t>
      </w:r>
      <w:r w:rsidR="002D061D" w:rsidRPr="009738EB">
        <w:rPr>
          <w:rFonts w:ascii="Calibri" w:hAnsi="Calibri" w:cs="Calibri"/>
          <w:sz w:val="23"/>
          <w:szCs w:val="23"/>
        </w:rPr>
        <w:t>FY 201</w:t>
      </w:r>
      <w:r w:rsidR="00752EB2" w:rsidRPr="009738EB">
        <w:rPr>
          <w:rFonts w:ascii="Calibri" w:hAnsi="Calibri" w:cs="Calibri"/>
          <w:sz w:val="23"/>
          <w:szCs w:val="23"/>
        </w:rPr>
        <w:t>4</w:t>
      </w:r>
      <w:r w:rsidR="001707C1" w:rsidRPr="009738EB">
        <w:rPr>
          <w:rFonts w:ascii="Calibri" w:hAnsi="Calibri" w:cs="Calibri"/>
          <w:sz w:val="23"/>
          <w:szCs w:val="23"/>
        </w:rPr>
        <w:t xml:space="preserve"> </w:t>
      </w:r>
      <w:r w:rsidR="00536531" w:rsidRPr="009738EB">
        <w:rPr>
          <w:rFonts w:ascii="Calibri" w:hAnsi="Calibri" w:cs="Calibri"/>
          <w:sz w:val="23"/>
          <w:szCs w:val="23"/>
        </w:rPr>
        <w:t>General Fund</w:t>
      </w:r>
      <w:r w:rsidR="00CF1837" w:rsidRPr="009738EB">
        <w:rPr>
          <w:rFonts w:ascii="Calibri" w:hAnsi="Calibri" w:cs="Calibri"/>
          <w:sz w:val="23"/>
          <w:szCs w:val="23"/>
        </w:rPr>
        <w:t xml:space="preserve"> </w:t>
      </w:r>
      <w:r w:rsidR="00D25360" w:rsidRPr="009738EB">
        <w:rPr>
          <w:rFonts w:ascii="Calibri" w:hAnsi="Calibri" w:cs="Calibri"/>
          <w:sz w:val="23"/>
          <w:szCs w:val="23"/>
        </w:rPr>
        <w:t>adopted</w:t>
      </w:r>
      <w:r w:rsidR="00536531" w:rsidRPr="009738EB">
        <w:rPr>
          <w:rFonts w:ascii="Calibri" w:hAnsi="Calibri" w:cs="Calibri"/>
          <w:sz w:val="23"/>
          <w:szCs w:val="23"/>
        </w:rPr>
        <w:t xml:space="preserve"> </w:t>
      </w:r>
      <w:r w:rsidR="002D061D" w:rsidRPr="009738EB">
        <w:rPr>
          <w:rFonts w:ascii="Calibri" w:hAnsi="Calibri" w:cs="Calibri"/>
          <w:sz w:val="23"/>
          <w:szCs w:val="23"/>
        </w:rPr>
        <w:t>fund balance is $</w:t>
      </w:r>
      <w:r w:rsidR="00752EB2" w:rsidRPr="009738EB">
        <w:rPr>
          <w:rFonts w:ascii="Calibri" w:hAnsi="Calibri" w:cs="Calibri"/>
          <w:sz w:val="23"/>
          <w:szCs w:val="23"/>
        </w:rPr>
        <w:t>60</w:t>
      </w:r>
      <w:r w:rsidR="00ED5042" w:rsidRPr="009738EB">
        <w:rPr>
          <w:rFonts w:ascii="Calibri" w:hAnsi="Calibri" w:cs="Calibri"/>
          <w:sz w:val="23"/>
          <w:szCs w:val="23"/>
        </w:rPr>
        <w:t>.</w:t>
      </w:r>
      <w:r w:rsidR="00752EB2" w:rsidRPr="009738EB">
        <w:rPr>
          <w:rFonts w:ascii="Calibri" w:hAnsi="Calibri" w:cs="Calibri"/>
          <w:sz w:val="23"/>
          <w:szCs w:val="23"/>
        </w:rPr>
        <w:t>4</w:t>
      </w:r>
      <w:r w:rsidR="009B5673" w:rsidRPr="009738EB">
        <w:rPr>
          <w:rFonts w:ascii="Calibri" w:hAnsi="Calibri" w:cs="Calibri"/>
          <w:sz w:val="23"/>
          <w:szCs w:val="23"/>
        </w:rPr>
        <w:t xml:space="preserve"> </w:t>
      </w:r>
      <w:r w:rsidR="002D061D" w:rsidRPr="009738EB">
        <w:rPr>
          <w:rFonts w:ascii="Calibri" w:hAnsi="Calibri" w:cs="Calibri"/>
          <w:sz w:val="23"/>
          <w:szCs w:val="23"/>
        </w:rPr>
        <w:t>million</w:t>
      </w:r>
      <w:r w:rsidR="009738EB">
        <w:rPr>
          <w:rFonts w:ascii="Calibri" w:hAnsi="Calibri" w:cs="Calibri"/>
          <w:sz w:val="23"/>
          <w:szCs w:val="23"/>
        </w:rPr>
        <w:t>,</w:t>
      </w:r>
      <w:r w:rsidR="002D061D" w:rsidRPr="009738EB">
        <w:rPr>
          <w:rFonts w:ascii="Calibri" w:hAnsi="Calibri" w:cs="Calibri"/>
          <w:sz w:val="23"/>
          <w:szCs w:val="23"/>
        </w:rPr>
        <w:t xml:space="preserve"> </w:t>
      </w:r>
      <w:r w:rsidR="00D3388C">
        <w:rPr>
          <w:rFonts w:ascii="Calibri" w:hAnsi="Calibri" w:cs="Calibri"/>
          <w:sz w:val="23"/>
          <w:szCs w:val="23"/>
        </w:rPr>
        <w:t>which includes $5 million assigned to Other Post-Employment Benefits (OPEB)</w:t>
      </w:r>
      <w:r w:rsidR="0044341C">
        <w:rPr>
          <w:rFonts w:ascii="Calibri" w:hAnsi="Calibri" w:cs="Calibri"/>
          <w:sz w:val="23"/>
          <w:szCs w:val="23"/>
        </w:rPr>
        <w:t xml:space="preserve">, </w:t>
      </w:r>
      <w:r w:rsidR="00D3388C">
        <w:rPr>
          <w:rFonts w:ascii="Calibri" w:hAnsi="Calibri" w:cs="Calibri"/>
          <w:sz w:val="23"/>
          <w:szCs w:val="23"/>
        </w:rPr>
        <w:t>$509k committed to other uses</w:t>
      </w:r>
      <w:r w:rsidR="0044341C">
        <w:rPr>
          <w:rFonts w:ascii="Calibri" w:hAnsi="Calibri" w:cs="Calibri"/>
          <w:sz w:val="23"/>
          <w:szCs w:val="23"/>
        </w:rPr>
        <w:t>, and a $4.5 million budget stabilization reserve set up in FY 2013</w:t>
      </w:r>
      <w:r w:rsidR="00D3388C">
        <w:rPr>
          <w:rFonts w:ascii="Calibri" w:hAnsi="Calibri" w:cs="Calibri"/>
          <w:sz w:val="23"/>
          <w:szCs w:val="23"/>
        </w:rPr>
        <w:t>.</w:t>
      </w:r>
    </w:p>
    <w:p w:rsidR="00D3388C" w:rsidRDefault="00D3388C" w:rsidP="000913C2">
      <w:pPr>
        <w:pStyle w:val="BodyTextIndent"/>
        <w:ind w:firstLine="0"/>
        <w:rPr>
          <w:rFonts w:ascii="Calibri" w:hAnsi="Calibri" w:cs="Calibri"/>
          <w:sz w:val="23"/>
          <w:szCs w:val="23"/>
        </w:rPr>
      </w:pPr>
    </w:p>
    <w:p w:rsidR="001918DD" w:rsidRDefault="00B76E6F" w:rsidP="000913C2">
      <w:pPr>
        <w:pStyle w:val="BodyTextIndent"/>
        <w:ind w:firstLine="0"/>
        <w:rPr>
          <w:rFonts w:ascii="Calibri" w:hAnsi="Calibri" w:cs="Calibri"/>
        </w:rPr>
      </w:pPr>
      <w:r w:rsidRPr="009738EB">
        <w:rPr>
          <w:rFonts w:ascii="Calibri" w:hAnsi="Calibri" w:cs="Calibri"/>
          <w:sz w:val="23"/>
          <w:szCs w:val="23"/>
        </w:rPr>
        <w:t xml:space="preserve">The </w:t>
      </w:r>
      <w:r w:rsidR="000D6F7F" w:rsidRPr="009738EB">
        <w:rPr>
          <w:rFonts w:ascii="Calibri" w:hAnsi="Calibri" w:cs="Calibri"/>
          <w:sz w:val="23"/>
          <w:szCs w:val="23"/>
        </w:rPr>
        <w:t>FY 201</w:t>
      </w:r>
      <w:r w:rsidR="00752EB2" w:rsidRPr="009738EB">
        <w:rPr>
          <w:rFonts w:ascii="Calibri" w:hAnsi="Calibri" w:cs="Calibri"/>
          <w:sz w:val="23"/>
          <w:szCs w:val="23"/>
        </w:rPr>
        <w:t>5</w:t>
      </w:r>
      <w:r w:rsidR="00F64F6B" w:rsidRPr="009738EB">
        <w:rPr>
          <w:rFonts w:ascii="Calibri" w:hAnsi="Calibri" w:cs="Calibri"/>
          <w:sz w:val="23"/>
          <w:szCs w:val="23"/>
        </w:rPr>
        <w:t xml:space="preserve"> </w:t>
      </w:r>
      <w:r w:rsidR="00607615">
        <w:rPr>
          <w:rFonts w:ascii="Calibri" w:hAnsi="Calibri" w:cs="Calibri"/>
          <w:sz w:val="23"/>
          <w:szCs w:val="23"/>
        </w:rPr>
        <w:t xml:space="preserve">General Fund </w:t>
      </w:r>
      <w:r w:rsidR="00752EB2" w:rsidRPr="009738EB">
        <w:rPr>
          <w:rFonts w:ascii="Calibri" w:hAnsi="Calibri" w:cs="Calibri"/>
          <w:sz w:val="23"/>
          <w:szCs w:val="23"/>
        </w:rPr>
        <w:t>Proposed Budget</w:t>
      </w:r>
      <w:r w:rsidRPr="009738EB">
        <w:rPr>
          <w:rFonts w:ascii="Calibri" w:hAnsi="Calibri" w:cs="Calibri"/>
          <w:sz w:val="23"/>
          <w:szCs w:val="23"/>
        </w:rPr>
        <w:t xml:space="preserve"> </w:t>
      </w:r>
      <w:r w:rsidR="00D3388C">
        <w:rPr>
          <w:rFonts w:ascii="Calibri" w:hAnsi="Calibri" w:cs="Calibri"/>
          <w:sz w:val="23"/>
          <w:szCs w:val="23"/>
        </w:rPr>
        <w:t xml:space="preserve">is structurally balanced and </w:t>
      </w:r>
      <w:r w:rsidR="00FA1C72" w:rsidRPr="009738EB">
        <w:rPr>
          <w:rFonts w:ascii="Calibri" w:hAnsi="Calibri" w:cs="Calibri"/>
          <w:sz w:val="23"/>
          <w:szCs w:val="23"/>
        </w:rPr>
        <w:t xml:space="preserve">does </w:t>
      </w:r>
      <w:r w:rsidR="00FA1C72" w:rsidRPr="009738EB">
        <w:rPr>
          <w:rFonts w:ascii="Calibri" w:hAnsi="Calibri" w:cs="Calibri"/>
          <w:i/>
          <w:sz w:val="23"/>
          <w:szCs w:val="23"/>
        </w:rPr>
        <w:t>not</w:t>
      </w:r>
      <w:r w:rsidR="00FA1C72" w:rsidRPr="009738EB">
        <w:rPr>
          <w:rFonts w:ascii="Calibri" w:hAnsi="Calibri" w:cs="Calibri"/>
          <w:sz w:val="23"/>
          <w:szCs w:val="23"/>
        </w:rPr>
        <w:t xml:space="preserve"> </w:t>
      </w:r>
      <w:r w:rsidR="00D3388C">
        <w:rPr>
          <w:rFonts w:ascii="Calibri" w:hAnsi="Calibri" w:cs="Calibri"/>
          <w:sz w:val="23"/>
          <w:szCs w:val="23"/>
        </w:rPr>
        <w:t xml:space="preserve">propose the </w:t>
      </w:r>
      <w:r w:rsidR="00FA1C72" w:rsidRPr="009738EB">
        <w:rPr>
          <w:rFonts w:ascii="Calibri" w:hAnsi="Calibri" w:cs="Calibri"/>
          <w:sz w:val="23"/>
          <w:szCs w:val="23"/>
        </w:rPr>
        <w:t xml:space="preserve">use </w:t>
      </w:r>
      <w:r w:rsidR="00D3388C">
        <w:rPr>
          <w:rFonts w:ascii="Calibri" w:hAnsi="Calibri" w:cs="Calibri"/>
          <w:sz w:val="23"/>
          <w:szCs w:val="23"/>
        </w:rPr>
        <w:t xml:space="preserve">of </w:t>
      </w:r>
      <w:r w:rsidR="00A70942" w:rsidRPr="009738EB">
        <w:rPr>
          <w:rFonts w:ascii="Calibri" w:hAnsi="Calibri" w:cs="Calibri"/>
          <w:sz w:val="23"/>
          <w:szCs w:val="23"/>
        </w:rPr>
        <w:t xml:space="preserve">fund </w:t>
      </w:r>
      <w:r w:rsidR="00FA1C72" w:rsidRPr="009738EB">
        <w:rPr>
          <w:rFonts w:ascii="Calibri" w:hAnsi="Calibri" w:cs="Calibri"/>
          <w:sz w:val="23"/>
          <w:szCs w:val="23"/>
        </w:rPr>
        <w:t>balance</w:t>
      </w:r>
      <w:r w:rsidR="000913C2">
        <w:rPr>
          <w:rFonts w:ascii="Calibri" w:hAnsi="Calibri" w:cs="Calibri"/>
          <w:sz w:val="23"/>
          <w:szCs w:val="23"/>
        </w:rPr>
        <w:t xml:space="preserve">. </w:t>
      </w:r>
      <w:r w:rsidRPr="009738EB">
        <w:rPr>
          <w:rFonts w:ascii="Calibri" w:hAnsi="Calibri" w:cs="Calibri"/>
          <w:sz w:val="23"/>
          <w:szCs w:val="23"/>
        </w:rPr>
        <w:t>It is antici</w:t>
      </w:r>
      <w:r w:rsidR="002D061D" w:rsidRPr="009738EB">
        <w:rPr>
          <w:rFonts w:ascii="Calibri" w:hAnsi="Calibri" w:cs="Calibri"/>
          <w:sz w:val="23"/>
          <w:szCs w:val="23"/>
        </w:rPr>
        <w:t>pated that by the end of FY 201</w:t>
      </w:r>
      <w:r w:rsidR="00752EB2" w:rsidRPr="009738EB">
        <w:rPr>
          <w:rFonts w:ascii="Calibri" w:hAnsi="Calibri" w:cs="Calibri"/>
          <w:sz w:val="23"/>
          <w:szCs w:val="23"/>
        </w:rPr>
        <w:t>5</w:t>
      </w:r>
      <w:r w:rsidRPr="009738EB">
        <w:rPr>
          <w:rFonts w:ascii="Calibri" w:hAnsi="Calibri" w:cs="Calibri"/>
          <w:sz w:val="23"/>
          <w:szCs w:val="23"/>
        </w:rPr>
        <w:t xml:space="preserve">, the </w:t>
      </w:r>
      <w:r w:rsidR="00607615">
        <w:rPr>
          <w:rFonts w:ascii="Calibri" w:hAnsi="Calibri" w:cs="Calibri"/>
          <w:sz w:val="23"/>
          <w:szCs w:val="23"/>
        </w:rPr>
        <w:t xml:space="preserve">General Fund </w:t>
      </w:r>
      <w:r w:rsidRPr="009738EB">
        <w:rPr>
          <w:rFonts w:ascii="Calibri" w:hAnsi="Calibri" w:cs="Calibri"/>
          <w:sz w:val="23"/>
          <w:szCs w:val="23"/>
        </w:rPr>
        <w:t xml:space="preserve">will </w:t>
      </w:r>
      <w:r w:rsidR="001918DD" w:rsidRPr="009738EB">
        <w:rPr>
          <w:rFonts w:ascii="Calibri" w:hAnsi="Calibri" w:cs="Calibri"/>
          <w:sz w:val="23"/>
          <w:szCs w:val="23"/>
        </w:rPr>
        <w:t>have an available</w:t>
      </w:r>
      <w:r w:rsidRPr="009738EB">
        <w:rPr>
          <w:rFonts w:ascii="Calibri" w:hAnsi="Calibri" w:cs="Calibri"/>
          <w:sz w:val="23"/>
          <w:szCs w:val="23"/>
        </w:rPr>
        <w:t xml:space="preserve"> fund balanc</w:t>
      </w:r>
      <w:r w:rsidR="002D061D" w:rsidRPr="009738EB">
        <w:rPr>
          <w:rFonts w:ascii="Calibri" w:hAnsi="Calibri" w:cs="Calibri"/>
          <w:sz w:val="23"/>
          <w:szCs w:val="23"/>
        </w:rPr>
        <w:t>e of $</w:t>
      </w:r>
      <w:r w:rsidR="00752EB2" w:rsidRPr="009738EB">
        <w:rPr>
          <w:rFonts w:ascii="Calibri" w:hAnsi="Calibri" w:cs="Calibri"/>
          <w:sz w:val="23"/>
          <w:szCs w:val="23"/>
        </w:rPr>
        <w:t>6</w:t>
      </w:r>
      <w:r w:rsidR="006C593F" w:rsidRPr="009738EB">
        <w:rPr>
          <w:rFonts w:ascii="Calibri" w:hAnsi="Calibri" w:cs="Calibri"/>
          <w:sz w:val="23"/>
          <w:szCs w:val="23"/>
        </w:rPr>
        <w:t>5</w:t>
      </w:r>
      <w:r w:rsidR="002141B5" w:rsidRPr="009738EB">
        <w:rPr>
          <w:rFonts w:ascii="Calibri" w:hAnsi="Calibri" w:cs="Calibri"/>
          <w:sz w:val="23"/>
          <w:szCs w:val="23"/>
        </w:rPr>
        <w:t>.</w:t>
      </w:r>
      <w:r w:rsidR="00752EB2" w:rsidRPr="009738EB">
        <w:rPr>
          <w:rFonts w:ascii="Calibri" w:hAnsi="Calibri" w:cs="Calibri"/>
          <w:sz w:val="23"/>
          <w:szCs w:val="23"/>
        </w:rPr>
        <w:t>3</w:t>
      </w:r>
      <w:r w:rsidR="009738EB">
        <w:rPr>
          <w:rFonts w:ascii="Calibri" w:hAnsi="Calibri" w:cs="Calibri"/>
          <w:sz w:val="23"/>
          <w:szCs w:val="23"/>
        </w:rPr>
        <w:t xml:space="preserve"> million</w:t>
      </w:r>
      <w:r w:rsidR="0044341C">
        <w:rPr>
          <w:rFonts w:ascii="Calibri" w:hAnsi="Calibri" w:cs="Calibri"/>
          <w:sz w:val="23"/>
          <w:szCs w:val="23"/>
        </w:rPr>
        <w:t xml:space="preserve">, which includes $6 million assigned to Other Post-Employment Benefits (OPEB), $509k committed to other uses, and a $4.5 million budget stabilization reserve set up in FY 2013.  </w:t>
      </w:r>
      <w:r w:rsidR="002D061D" w:rsidRPr="009738EB">
        <w:rPr>
          <w:rFonts w:ascii="Calibri" w:hAnsi="Calibri" w:cs="Calibri"/>
          <w:sz w:val="23"/>
          <w:szCs w:val="23"/>
        </w:rPr>
        <w:t>Th</w:t>
      </w:r>
      <w:r w:rsidR="0044341C">
        <w:rPr>
          <w:rFonts w:ascii="Calibri" w:hAnsi="Calibri" w:cs="Calibri"/>
          <w:sz w:val="23"/>
          <w:szCs w:val="23"/>
        </w:rPr>
        <w:t xml:space="preserve">e total of all combined balances </w:t>
      </w:r>
      <w:r w:rsidR="002D061D" w:rsidRPr="009738EB">
        <w:rPr>
          <w:rFonts w:ascii="Calibri" w:hAnsi="Calibri" w:cs="Calibri"/>
          <w:sz w:val="23"/>
          <w:szCs w:val="23"/>
        </w:rPr>
        <w:t xml:space="preserve">represents </w:t>
      </w:r>
      <w:r w:rsidR="0044341C">
        <w:rPr>
          <w:rFonts w:ascii="Calibri" w:hAnsi="Calibri" w:cs="Calibri"/>
          <w:sz w:val="23"/>
          <w:szCs w:val="23"/>
        </w:rPr>
        <w:t xml:space="preserve">approximately </w:t>
      </w:r>
      <w:r w:rsidR="00752EB2" w:rsidRPr="009738EB">
        <w:rPr>
          <w:rFonts w:ascii="Calibri" w:hAnsi="Calibri" w:cs="Calibri"/>
          <w:sz w:val="23"/>
          <w:szCs w:val="23"/>
        </w:rPr>
        <w:t>2</w:t>
      </w:r>
      <w:r w:rsidR="00D25360" w:rsidRPr="009738EB">
        <w:rPr>
          <w:rFonts w:ascii="Calibri" w:hAnsi="Calibri" w:cs="Calibri"/>
          <w:sz w:val="23"/>
          <w:szCs w:val="23"/>
        </w:rPr>
        <w:t>3</w:t>
      </w:r>
      <w:r w:rsidR="001C3189" w:rsidRPr="009738EB">
        <w:rPr>
          <w:rFonts w:ascii="Calibri" w:hAnsi="Calibri" w:cs="Calibri"/>
          <w:sz w:val="23"/>
          <w:szCs w:val="23"/>
        </w:rPr>
        <w:t>.</w:t>
      </w:r>
      <w:r w:rsidR="00D25360" w:rsidRPr="009738EB">
        <w:rPr>
          <w:rFonts w:ascii="Calibri" w:hAnsi="Calibri" w:cs="Calibri"/>
          <w:sz w:val="23"/>
          <w:szCs w:val="23"/>
        </w:rPr>
        <w:t>7</w:t>
      </w:r>
      <w:r w:rsidRPr="009738EB">
        <w:rPr>
          <w:rFonts w:ascii="Calibri" w:hAnsi="Calibri" w:cs="Calibri"/>
          <w:sz w:val="23"/>
          <w:szCs w:val="23"/>
        </w:rPr>
        <w:t xml:space="preserve">% of the General Fund </w:t>
      </w:r>
      <w:r w:rsidR="00B61F26" w:rsidRPr="009738EB">
        <w:rPr>
          <w:rFonts w:ascii="Calibri" w:hAnsi="Calibri" w:cs="Calibri"/>
          <w:sz w:val="23"/>
          <w:szCs w:val="23"/>
        </w:rPr>
        <w:t xml:space="preserve">budgeted </w:t>
      </w:r>
      <w:r w:rsidRPr="009738EB">
        <w:rPr>
          <w:rFonts w:ascii="Calibri" w:hAnsi="Calibri" w:cs="Calibri"/>
          <w:sz w:val="23"/>
          <w:szCs w:val="23"/>
        </w:rPr>
        <w:t>expenditures</w:t>
      </w:r>
      <w:r w:rsidR="00F64F6B" w:rsidRPr="009738EB">
        <w:rPr>
          <w:rFonts w:ascii="Calibri" w:hAnsi="Calibri" w:cs="Calibri"/>
          <w:sz w:val="23"/>
          <w:szCs w:val="23"/>
        </w:rPr>
        <w:t xml:space="preserve"> plus required transfers</w:t>
      </w:r>
      <w:r w:rsidRPr="00D21E53">
        <w:rPr>
          <w:rFonts w:ascii="Calibri" w:hAnsi="Calibri" w:cs="Calibri"/>
        </w:rPr>
        <w:t xml:space="preserve">.  </w:t>
      </w:r>
      <w:bookmarkEnd w:id="0"/>
      <w:bookmarkEnd w:id="1"/>
    </w:p>
    <w:p w:rsidR="00607615" w:rsidRDefault="00607615" w:rsidP="000913C2">
      <w:pPr>
        <w:pStyle w:val="BodyTextIndent"/>
        <w:ind w:firstLine="0"/>
        <w:rPr>
          <w:rFonts w:ascii="Calibri" w:hAnsi="Calibri" w:cs="Calibri"/>
        </w:rPr>
      </w:pPr>
    </w:p>
    <w:p w:rsidR="00607615" w:rsidRDefault="00607615" w:rsidP="000913C2">
      <w:pPr>
        <w:pStyle w:val="BodyTextIndent"/>
        <w:ind w:firstLine="0"/>
        <w:rPr>
          <w:rFonts w:ascii="Calibri" w:hAnsi="Calibri" w:cs="Calibri"/>
        </w:rPr>
      </w:pPr>
      <w:r>
        <w:rPr>
          <w:rFonts w:ascii="Calibri" w:hAnsi="Calibri" w:cs="Calibri"/>
        </w:rPr>
        <w:t>The FY 2015 All Funds Proposed Budget has an anticipated year-end fund balance of $99.6 million.  This does not include required reserves, projected at $117.3 million for FY 2015.</w:t>
      </w:r>
    </w:p>
    <w:p w:rsidR="00E40558" w:rsidRDefault="00E40558">
      <w:pPr>
        <w:pStyle w:val="BodyTextIndent"/>
        <w:ind w:firstLine="0"/>
        <w:rPr>
          <w:rFonts w:ascii="Calibri" w:hAnsi="Calibri" w:cs="Calibri"/>
        </w:rPr>
      </w:pPr>
      <w:bookmarkStart w:id="2" w:name="_GoBack"/>
      <w:bookmarkEnd w:id="2"/>
    </w:p>
    <w:p w:rsidR="00E40558" w:rsidRPr="00D3300D" w:rsidRDefault="007132DC">
      <w:pPr>
        <w:pStyle w:val="BodyTextIndent"/>
        <w:ind w:firstLine="0"/>
        <w:rPr>
          <w:rFonts w:ascii="Calibri" w:hAnsi="Calibri" w:cs="Calibri"/>
        </w:rPr>
      </w:pPr>
      <w:r>
        <w:rPr>
          <w:noProof/>
          <w:snapToGrid/>
        </w:rPr>
        <w:drawing>
          <wp:inline distT="0" distB="0" distL="0" distR="0" wp14:anchorId="22B78204" wp14:editId="256FF236">
            <wp:extent cx="5943600" cy="4363085"/>
            <wp:effectExtent l="0" t="0" r="0" b="0"/>
            <wp:docPr id="1" name="Chart 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sectPr w:rsidR="00E40558" w:rsidRPr="00D3300D" w:rsidSect="00A87457">
      <w:headerReference w:type="default" r:id="rId10"/>
      <w:footerReference w:type="even" r:id="rId11"/>
      <w:footerReference w:type="default" r:id="rId12"/>
      <w:endnotePr>
        <w:numFmt w:val="decimal"/>
      </w:endnotePr>
      <w:pgSz w:w="12240" w:h="15840" w:code="1"/>
      <w:pgMar w:top="288" w:right="1440" w:bottom="446" w:left="1440" w:header="720" w:footer="763" w:gutter="0"/>
      <w:pgNumType w:start="92"/>
      <w:cols w:space="720"/>
      <w:noEndnote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6139B" w:rsidRDefault="0076139B">
      <w:r>
        <w:separator/>
      </w:r>
    </w:p>
  </w:endnote>
  <w:endnote w:type="continuationSeparator" w:id="0">
    <w:p w:rsidR="0076139B" w:rsidRDefault="007613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helleyVolante BT">
    <w:altName w:val="Courier New"/>
    <w:charset w:val="00"/>
    <w:family w:val="script"/>
    <w:pitch w:val="variable"/>
    <w:sig w:usb0="00000001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eelawadee">
    <w:panose1 w:val="020B0502040204020203"/>
    <w:charset w:val="00"/>
    <w:family w:val="swiss"/>
    <w:pitch w:val="variable"/>
    <w:sig w:usb0="810000AF" w:usb1="4000204B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39B" w:rsidRDefault="0076139B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76139B" w:rsidRDefault="0076139B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39B" w:rsidRDefault="0076139B">
    <w:pPr>
      <w:pStyle w:val="Footer"/>
      <w:tabs>
        <w:tab w:val="clear" w:pos="8640"/>
        <w:tab w:val="left" w:pos="5325"/>
      </w:tabs>
      <w:rPr>
        <w:rFonts w:ascii="Times New Roman" w:hAnsi="Times New Roman"/>
        <w:sz w:val="22"/>
      </w:rPr>
    </w:pPr>
  </w:p>
  <w:p w:rsidR="0076139B" w:rsidRDefault="0076139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6139B" w:rsidRDefault="0076139B">
      <w:r>
        <w:separator/>
      </w:r>
    </w:p>
  </w:footnote>
  <w:footnote w:type="continuationSeparator" w:id="0">
    <w:p w:rsidR="0076139B" w:rsidRDefault="0076139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6139B" w:rsidRDefault="0076139B" w:rsidP="00D85784">
    <w:pPr>
      <w:ind w:left="360"/>
      <w:jc w:val="center"/>
      <w:rPr>
        <w:rFonts w:ascii="Leelawadee" w:hAnsi="Leelawadee" w:cs="Leelawadee"/>
        <w:b/>
        <w:sz w:val="40"/>
        <w:szCs w:val="40"/>
      </w:rPr>
    </w:pPr>
    <w:r w:rsidRPr="00F429EE">
      <w:rPr>
        <w:rFonts w:ascii="Leelawadee" w:hAnsi="Leelawadee" w:cs="Leelawadee"/>
        <w:b/>
        <w:sz w:val="40"/>
        <w:szCs w:val="40"/>
      </w:rPr>
      <w:t>Fund Balance Projections</w:t>
    </w:r>
  </w:p>
  <w:p w:rsidR="0076139B" w:rsidRPr="00F429EE" w:rsidRDefault="0076139B" w:rsidP="00D85784">
    <w:pPr>
      <w:ind w:left="360"/>
      <w:jc w:val="center"/>
      <w:rPr>
        <w:rFonts w:ascii="Leelawadee" w:hAnsi="Leelawadee" w:cs="Leelawadee"/>
        <w:b/>
        <w:sz w:val="40"/>
        <w:szCs w:val="4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1104F9"/>
    <w:multiLevelType w:val="hybridMultilevel"/>
    <w:tmpl w:val="F40626DE"/>
    <w:lvl w:ilvl="0" w:tplc="04090001">
      <w:start w:val="1"/>
      <w:numFmt w:val="bullet"/>
      <w:lvlText w:val=""/>
      <w:lvlJc w:val="left"/>
      <w:pPr>
        <w:tabs>
          <w:tab w:val="num" w:pos="1062"/>
        </w:tabs>
        <w:ind w:left="10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2"/>
        </w:tabs>
        <w:ind w:left="178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2"/>
        </w:tabs>
        <w:ind w:left="25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2"/>
        </w:tabs>
        <w:ind w:left="32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2"/>
        </w:tabs>
        <w:ind w:left="394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2"/>
        </w:tabs>
        <w:ind w:left="46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2"/>
        </w:tabs>
        <w:ind w:left="53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2"/>
        </w:tabs>
        <w:ind w:left="610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2"/>
        </w:tabs>
        <w:ind w:left="6822" w:hanging="360"/>
      </w:pPr>
      <w:rPr>
        <w:rFonts w:ascii="Wingdings" w:hAnsi="Wingdings" w:hint="default"/>
      </w:rPr>
    </w:lvl>
  </w:abstractNum>
  <w:abstractNum w:abstractNumId="1">
    <w:nsid w:val="02A9472A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040035FE"/>
    <w:multiLevelType w:val="hybridMultilevel"/>
    <w:tmpl w:val="06D0AC9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992927"/>
    <w:multiLevelType w:val="singleLevel"/>
    <w:tmpl w:val="D3EA3AE0"/>
    <w:lvl w:ilvl="0">
      <w:start w:val="3"/>
      <w:numFmt w:val="lowerLetter"/>
      <w:lvlText w:val="%1."/>
      <w:lvlJc w:val="left"/>
      <w:pPr>
        <w:tabs>
          <w:tab w:val="num" w:pos="2376"/>
        </w:tabs>
        <w:ind w:left="2376" w:hanging="360"/>
      </w:pPr>
      <w:rPr>
        <w:rFonts w:hint="default"/>
      </w:rPr>
    </w:lvl>
  </w:abstractNum>
  <w:abstractNum w:abstractNumId="4">
    <w:nsid w:val="099F3CE6"/>
    <w:multiLevelType w:val="hybridMultilevel"/>
    <w:tmpl w:val="702CD586"/>
    <w:lvl w:ilvl="0" w:tplc="C568AC82">
      <w:start w:val="2"/>
      <w:numFmt w:val="lowerLetter"/>
      <w:lvlText w:val="%1."/>
      <w:lvlJc w:val="left"/>
      <w:pPr>
        <w:tabs>
          <w:tab w:val="num" w:pos="2364"/>
        </w:tabs>
        <w:ind w:left="236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84"/>
        </w:tabs>
        <w:ind w:left="3084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04"/>
        </w:tabs>
        <w:ind w:left="380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24"/>
        </w:tabs>
        <w:ind w:left="452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44"/>
        </w:tabs>
        <w:ind w:left="524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64"/>
        </w:tabs>
        <w:ind w:left="596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84"/>
        </w:tabs>
        <w:ind w:left="668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04"/>
        </w:tabs>
        <w:ind w:left="740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24"/>
        </w:tabs>
        <w:ind w:left="8124" w:hanging="180"/>
      </w:pPr>
    </w:lvl>
  </w:abstractNum>
  <w:abstractNum w:abstractNumId="5">
    <w:nsid w:val="0EFE6BAC"/>
    <w:multiLevelType w:val="hybridMultilevel"/>
    <w:tmpl w:val="05D04014"/>
    <w:lvl w:ilvl="0" w:tplc="8E1ADD9A">
      <w:start w:val="4"/>
      <w:numFmt w:val="lowerLetter"/>
      <w:lvlText w:val="%1.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96"/>
        </w:tabs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16"/>
        </w:tabs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36"/>
        </w:tabs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56"/>
        </w:tabs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76"/>
        </w:tabs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96"/>
        </w:tabs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16"/>
        </w:tabs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36"/>
        </w:tabs>
        <w:ind w:left="8136" w:hanging="180"/>
      </w:pPr>
    </w:lvl>
  </w:abstractNum>
  <w:abstractNum w:abstractNumId="6">
    <w:nsid w:val="1BF966C2"/>
    <w:multiLevelType w:val="hybridMultilevel"/>
    <w:tmpl w:val="BDA0568C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F59551D"/>
    <w:multiLevelType w:val="hybridMultilevel"/>
    <w:tmpl w:val="FE7690F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24F91218"/>
    <w:multiLevelType w:val="hybridMultilevel"/>
    <w:tmpl w:val="5518CC60"/>
    <w:lvl w:ilvl="0" w:tplc="1AD0EB60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9">
    <w:nsid w:val="31943CC9"/>
    <w:multiLevelType w:val="singleLevel"/>
    <w:tmpl w:val="5C62B3C6"/>
    <w:lvl w:ilvl="0">
      <w:start w:val="2"/>
      <w:numFmt w:val="lowerLetter"/>
      <w:lvlText w:val="%1."/>
      <w:lvlJc w:val="left"/>
      <w:pPr>
        <w:tabs>
          <w:tab w:val="num" w:pos="2376"/>
        </w:tabs>
        <w:ind w:left="2376" w:hanging="360"/>
      </w:pPr>
      <w:rPr>
        <w:rFonts w:hint="default"/>
      </w:rPr>
    </w:lvl>
  </w:abstractNum>
  <w:abstractNum w:abstractNumId="10">
    <w:nsid w:val="31D502FD"/>
    <w:multiLevelType w:val="hybridMultilevel"/>
    <w:tmpl w:val="96B87BA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35257BA2"/>
    <w:multiLevelType w:val="hybridMultilevel"/>
    <w:tmpl w:val="9B4C2402"/>
    <w:lvl w:ilvl="0" w:tplc="10D07D5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CFD766F"/>
    <w:multiLevelType w:val="hybridMultilevel"/>
    <w:tmpl w:val="B7A833AA"/>
    <w:lvl w:ilvl="0" w:tplc="04090001">
      <w:start w:val="1"/>
      <w:numFmt w:val="bullet"/>
      <w:lvlText w:val=""/>
      <w:lvlJc w:val="left"/>
      <w:pPr>
        <w:tabs>
          <w:tab w:val="num" w:pos="432"/>
        </w:tabs>
        <w:ind w:left="43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152"/>
        </w:tabs>
        <w:ind w:left="115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72"/>
        </w:tabs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92"/>
        </w:tabs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312"/>
        </w:tabs>
        <w:ind w:left="331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032"/>
        </w:tabs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752"/>
        </w:tabs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72"/>
        </w:tabs>
        <w:ind w:left="547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92"/>
        </w:tabs>
        <w:ind w:left="6192" w:hanging="360"/>
      </w:pPr>
      <w:rPr>
        <w:rFonts w:ascii="Wingdings" w:hAnsi="Wingdings" w:hint="default"/>
      </w:rPr>
    </w:lvl>
  </w:abstractNum>
  <w:abstractNum w:abstractNumId="13">
    <w:nsid w:val="3DFA6974"/>
    <w:multiLevelType w:val="hybridMultilevel"/>
    <w:tmpl w:val="CBC82CE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450C267F"/>
    <w:multiLevelType w:val="hybridMultilevel"/>
    <w:tmpl w:val="1AA6DA6C"/>
    <w:lvl w:ilvl="0" w:tplc="04090001">
      <w:start w:val="1"/>
      <w:numFmt w:val="bullet"/>
      <w:lvlText w:val=""/>
      <w:lvlJc w:val="left"/>
      <w:pPr>
        <w:tabs>
          <w:tab w:val="num" w:pos="2376"/>
        </w:tabs>
        <w:ind w:left="23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96"/>
        </w:tabs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16"/>
        </w:tabs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36"/>
        </w:tabs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56"/>
        </w:tabs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76"/>
        </w:tabs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96"/>
        </w:tabs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16"/>
        </w:tabs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36"/>
        </w:tabs>
        <w:ind w:left="8136" w:hanging="180"/>
      </w:pPr>
    </w:lvl>
  </w:abstractNum>
  <w:abstractNum w:abstractNumId="15">
    <w:nsid w:val="4BE43013"/>
    <w:multiLevelType w:val="hybridMultilevel"/>
    <w:tmpl w:val="BD02AA48"/>
    <w:lvl w:ilvl="0" w:tplc="5FC6A842">
      <w:start w:val="1"/>
      <w:numFmt w:val="lowerLetter"/>
      <w:lvlText w:val="%1.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96"/>
        </w:tabs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16"/>
        </w:tabs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36"/>
        </w:tabs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56"/>
        </w:tabs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76"/>
        </w:tabs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96"/>
        </w:tabs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16"/>
        </w:tabs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36"/>
        </w:tabs>
        <w:ind w:left="8136" w:hanging="180"/>
      </w:pPr>
    </w:lvl>
  </w:abstractNum>
  <w:abstractNum w:abstractNumId="16">
    <w:nsid w:val="4CFC19A2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7">
    <w:nsid w:val="53896F0E"/>
    <w:multiLevelType w:val="singleLevel"/>
    <w:tmpl w:val="0409000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>
    <w:nsid w:val="54674CA8"/>
    <w:multiLevelType w:val="hybridMultilevel"/>
    <w:tmpl w:val="F1B09A1C"/>
    <w:lvl w:ilvl="0" w:tplc="E0E426FC">
      <w:start w:val="3"/>
      <w:numFmt w:val="lowerLetter"/>
      <w:lvlText w:val="%1."/>
      <w:lvlJc w:val="left"/>
      <w:pPr>
        <w:tabs>
          <w:tab w:val="num" w:pos="2376"/>
        </w:tabs>
        <w:ind w:left="23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96"/>
        </w:tabs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16"/>
        </w:tabs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36"/>
        </w:tabs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56"/>
        </w:tabs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76"/>
        </w:tabs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96"/>
        </w:tabs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16"/>
        </w:tabs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36"/>
        </w:tabs>
        <w:ind w:left="8136" w:hanging="180"/>
      </w:pPr>
    </w:lvl>
  </w:abstractNum>
  <w:abstractNum w:abstractNumId="19">
    <w:nsid w:val="5A634F39"/>
    <w:multiLevelType w:val="hybridMultilevel"/>
    <w:tmpl w:val="05D04014"/>
    <w:lvl w:ilvl="0" w:tplc="04090001">
      <w:start w:val="1"/>
      <w:numFmt w:val="bullet"/>
      <w:lvlText w:val=""/>
      <w:lvlJc w:val="left"/>
      <w:pPr>
        <w:tabs>
          <w:tab w:val="num" w:pos="2376"/>
        </w:tabs>
        <w:ind w:left="23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3096"/>
        </w:tabs>
        <w:ind w:left="3096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816"/>
        </w:tabs>
        <w:ind w:left="3816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4536"/>
        </w:tabs>
        <w:ind w:left="4536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5256"/>
        </w:tabs>
        <w:ind w:left="5256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976"/>
        </w:tabs>
        <w:ind w:left="5976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696"/>
        </w:tabs>
        <w:ind w:left="6696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7416"/>
        </w:tabs>
        <w:ind w:left="7416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8136"/>
        </w:tabs>
        <w:ind w:left="8136" w:hanging="180"/>
      </w:pPr>
    </w:lvl>
  </w:abstractNum>
  <w:abstractNum w:abstractNumId="20">
    <w:nsid w:val="744962BE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20"/>
  </w:num>
  <w:num w:numId="2">
    <w:abstractNumId w:val="16"/>
  </w:num>
  <w:num w:numId="3">
    <w:abstractNumId w:val="3"/>
  </w:num>
  <w:num w:numId="4">
    <w:abstractNumId w:val="1"/>
  </w:num>
  <w:num w:numId="5">
    <w:abstractNumId w:val="17"/>
  </w:num>
  <w:num w:numId="6">
    <w:abstractNumId w:val="9"/>
  </w:num>
  <w:num w:numId="7">
    <w:abstractNumId w:val="18"/>
  </w:num>
  <w:num w:numId="8">
    <w:abstractNumId w:val="14"/>
  </w:num>
  <w:num w:numId="9">
    <w:abstractNumId w:val="5"/>
  </w:num>
  <w:num w:numId="10">
    <w:abstractNumId w:val="19"/>
  </w:num>
  <w:num w:numId="11">
    <w:abstractNumId w:val="15"/>
  </w:num>
  <w:num w:numId="12">
    <w:abstractNumId w:val="4"/>
  </w:num>
  <w:num w:numId="13">
    <w:abstractNumId w:val="8"/>
  </w:num>
  <w:num w:numId="14">
    <w:abstractNumId w:val="6"/>
  </w:num>
  <w:num w:numId="15">
    <w:abstractNumId w:val="13"/>
  </w:num>
  <w:num w:numId="16">
    <w:abstractNumId w:val="7"/>
  </w:num>
  <w:num w:numId="17">
    <w:abstractNumId w:val="10"/>
  </w:num>
  <w:num w:numId="18">
    <w:abstractNumId w:val="2"/>
  </w:num>
  <w:num w:numId="19">
    <w:abstractNumId w:val="11"/>
  </w:num>
  <w:num w:numId="20">
    <w:abstractNumId w:val="0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doNotShadeFormData/>
  <w:noPunctuationKerning/>
  <w:characterSpacingControl w:val="doNotCompress"/>
  <w:hdrShapeDefaults>
    <o:shapedefaults v:ext="edit" spidmax="50177">
      <o:colormru v:ext="edit" colors="#1c60ab,#e3303d"/>
    </o:shapedefaults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D061D"/>
    <w:rsid w:val="00005371"/>
    <w:rsid w:val="00011A3B"/>
    <w:rsid w:val="000457BC"/>
    <w:rsid w:val="00075436"/>
    <w:rsid w:val="00082115"/>
    <w:rsid w:val="00086541"/>
    <w:rsid w:val="000913C2"/>
    <w:rsid w:val="0009259C"/>
    <w:rsid w:val="000B3268"/>
    <w:rsid w:val="000D2230"/>
    <w:rsid w:val="000D5D37"/>
    <w:rsid w:val="000D6F7F"/>
    <w:rsid w:val="00143E02"/>
    <w:rsid w:val="001707C1"/>
    <w:rsid w:val="00175305"/>
    <w:rsid w:val="001918DD"/>
    <w:rsid w:val="001C2FF0"/>
    <w:rsid w:val="001C3189"/>
    <w:rsid w:val="002079A8"/>
    <w:rsid w:val="002141B5"/>
    <w:rsid w:val="00224A87"/>
    <w:rsid w:val="002351C7"/>
    <w:rsid w:val="002900DA"/>
    <w:rsid w:val="002940E8"/>
    <w:rsid w:val="002B2879"/>
    <w:rsid w:val="002D061D"/>
    <w:rsid w:val="00305619"/>
    <w:rsid w:val="00324710"/>
    <w:rsid w:val="0032478A"/>
    <w:rsid w:val="0033616F"/>
    <w:rsid w:val="003507AA"/>
    <w:rsid w:val="00431D6D"/>
    <w:rsid w:val="0044341C"/>
    <w:rsid w:val="004A031C"/>
    <w:rsid w:val="004A5665"/>
    <w:rsid w:val="004C39F7"/>
    <w:rsid w:val="005005C9"/>
    <w:rsid w:val="00536531"/>
    <w:rsid w:val="00561A0C"/>
    <w:rsid w:val="00565F16"/>
    <w:rsid w:val="005E0250"/>
    <w:rsid w:val="00600EF0"/>
    <w:rsid w:val="00600F92"/>
    <w:rsid w:val="00607615"/>
    <w:rsid w:val="0063143E"/>
    <w:rsid w:val="00677692"/>
    <w:rsid w:val="00693D90"/>
    <w:rsid w:val="00694084"/>
    <w:rsid w:val="006A456C"/>
    <w:rsid w:val="006B1E67"/>
    <w:rsid w:val="006C593F"/>
    <w:rsid w:val="006D37DD"/>
    <w:rsid w:val="006E457E"/>
    <w:rsid w:val="007132DC"/>
    <w:rsid w:val="00716228"/>
    <w:rsid w:val="00752EB2"/>
    <w:rsid w:val="0076139B"/>
    <w:rsid w:val="00764BB6"/>
    <w:rsid w:val="007A6959"/>
    <w:rsid w:val="007F0985"/>
    <w:rsid w:val="00800E28"/>
    <w:rsid w:val="00801E95"/>
    <w:rsid w:val="00814F8B"/>
    <w:rsid w:val="0081513D"/>
    <w:rsid w:val="00815190"/>
    <w:rsid w:val="008551B8"/>
    <w:rsid w:val="0086458C"/>
    <w:rsid w:val="008E2897"/>
    <w:rsid w:val="008F5A56"/>
    <w:rsid w:val="00913BE9"/>
    <w:rsid w:val="009141D4"/>
    <w:rsid w:val="00915010"/>
    <w:rsid w:val="00917EA3"/>
    <w:rsid w:val="00935B4D"/>
    <w:rsid w:val="0094570A"/>
    <w:rsid w:val="00961923"/>
    <w:rsid w:val="00971061"/>
    <w:rsid w:val="009738EB"/>
    <w:rsid w:val="00977396"/>
    <w:rsid w:val="00987820"/>
    <w:rsid w:val="009B5673"/>
    <w:rsid w:val="009B7874"/>
    <w:rsid w:val="009C2B7D"/>
    <w:rsid w:val="009C46A2"/>
    <w:rsid w:val="009E2EDD"/>
    <w:rsid w:val="00A36AEE"/>
    <w:rsid w:val="00A70942"/>
    <w:rsid w:val="00A71E1E"/>
    <w:rsid w:val="00A87457"/>
    <w:rsid w:val="00AB144F"/>
    <w:rsid w:val="00AC1179"/>
    <w:rsid w:val="00AC7C3A"/>
    <w:rsid w:val="00B264C0"/>
    <w:rsid w:val="00B54F3B"/>
    <w:rsid w:val="00B61F26"/>
    <w:rsid w:val="00B76E6F"/>
    <w:rsid w:val="00BA06FE"/>
    <w:rsid w:val="00BB4D05"/>
    <w:rsid w:val="00C12186"/>
    <w:rsid w:val="00C15AB6"/>
    <w:rsid w:val="00C24F35"/>
    <w:rsid w:val="00C27B4A"/>
    <w:rsid w:val="00C30CF3"/>
    <w:rsid w:val="00C566E2"/>
    <w:rsid w:val="00C61DF5"/>
    <w:rsid w:val="00C7084E"/>
    <w:rsid w:val="00C73B82"/>
    <w:rsid w:val="00C97BC8"/>
    <w:rsid w:val="00CA2580"/>
    <w:rsid w:val="00CA70F5"/>
    <w:rsid w:val="00CE6076"/>
    <w:rsid w:val="00CF1837"/>
    <w:rsid w:val="00CF7D5D"/>
    <w:rsid w:val="00D01A02"/>
    <w:rsid w:val="00D05B89"/>
    <w:rsid w:val="00D21E53"/>
    <w:rsid w:val="00D25360"/>
    <w:rsid w:val="00D3300D"/>
    <w:rsid w:val="00D3388C"/>
    <w:rsid w:val="00D85784"/>
    <w:rsid w:val="00DD335B"/>
    <w:rsid w:val="00DE5DF2"/>
    <w:rsid w:val="00DE6B29"/>
    <w:rsid w:val="00DF306B"/>
    <w:rsid w:val="00E07929"/>
    <w:rsid w:val="00E265ED"/>
    <w:rsid w:val="00E336E8"/>
    <w:rsid w:val="00E40558"/>
    <w:rsid w:val="00E62929"/>
    <w:rsid w:val="00E77484"/>
    <w:rsid w:val="00EB3116"/>
    <w:rsid w:val="00EB326C"/>
    <w:rsid w:val="00ED5042"/>
    <w:rsid w:val="00EE01D4"/>
    <w:rsid w:val="00EF2176"/>
    <w:rsid w:val="00F00A63"/>
    <w:rsid w:val="00F01566"/>
    <w:rsid w:val="00F06EE5"/>
    <w:rsid w:val="00F0707E"/>
    <w:rsid w:val="00F33A97"/>
    <w:rsid w:val="00F429EE"/>
    <w:rsid w:val="00F64F6B"/>
    <w:rsid w:val="00F850A5"/>
    <w:rsid w:val="00F86DF6"/>
    <w:rsid w:val="00FA1C72"/>
    <w:rsid w:val="00FE2A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0177">
      <o:colormru v:ext="edit" colors="#1c60ab,#e3303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</w:pPr>
    <w:rPr>
      <w:rFonts w:ascii="Arial" w:hAnsi="Arial"/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tabs>
        <w:tab w:val="center" w:pos="4680"/>
      </w:tabs>
      <w:jc w:val="center"/>
      <w:outlineLvl w:val="1"/>
    </w:pPr>
    <w:rPr>
      <w:b/>
      <w:i/>
      <w:sz w:val="32"/>
    </w:rPr>
  </w:style>
  <w:style w:type="paragraph" w:styleId="Heading3">
    <w:name w:val="heading 3"/>
    <w:basedOn w:val="Normal"/>
    <w:next w:val="Normal"/>
    <w:qFormat/>
    <w:pPr>
      <w:keepNext/>
      <w:spacing w:after="12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ind w:firstLine="720"/>
      <w:jc w:val="right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Garamond" w:hAnsi="Garamond"/>
      <w:i/>
      <w:sz w:val="28"/>
    </w:rPr>
  </w:style>
  <w:style w:type="paragraph" w:styleId="Heading8">
    <w:name w:val="heading 8"/>
    <w:basedOn w:val="Normal"/>
    <w:next w:val="Normal"/>
    <w:qFormat/>
    <w:pPr>
      <w:keepNext/>
      <w:jc w:val="right"/>
      <w:outlineLvl w:val="7"/>
    </w:pPr>
    <w:rPr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ShelleyVolante BT" w:hAnsi="ShelleyVolante BT"/>
      <w:color w:val="1C60AB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PlainText">
    <w:name w:val="Plain Text"/>
    <w:basedOn w:val="Normal"/>
    <w:pPr>
      <w:widowControl/>
    </w:pPr>
    <w:rPr>
      <w:rFonts w:ascii="Courier New" w:hAnsi="Courier New"/>
      <w:snapToGrid/>
      <w:sz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CompanyName">
    <w:name w:val="Company Name"/>
    <w:basedOn w:val="BodyText"/>
    <w:next w:val="Normal"/>
    <w:pPr>
      <w:keepNext/>
      <w:keepLines/>
      <w:widowControl/>
      <w:pBdr>
        <w:bottom w:val="single" w:sz="6" w:space="4" w:color="auto"/>
      </w:pBdr>
      <w:spacing w:before="120" w:after="60" w:line="280" w:lineRule="exact"/>
      <w:ind w:left="360" w:hanging="360"/>
    </w:pPr>
    <w:rPr>
      <w:b/>
      <w:caps/>
      <w:snapToGrid/>
      <w:sz w:val="22"/>
    </w:r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jc w:val="both"/>
    </w:p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ind w:firstLine="720"/>
      <w:jc w:val="both"/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pPr>
      <w:outlineLvl w:val="0"/>
    </w:pPr>
    <w:rPr>
      <w:sz w:val="28"/>
    </w:rPr>
  </w:style>
  <w:style w:type="character" w:styleId="PageNumber">
    <w:name w:val="page number"/>
    <w:basedOn w:val="DefaultParagraphFont"/>
  </w:style>
  <w:style w:type="paragraph" w:customStyle="1" w:styleId="Mission">
    <w:name w:val="Mission"/>
    <w:basedOn w:val="Normal"/>
    <w:pPr>
      <w:spacing w:before="240" w:after="120"/>
    </w:pPr>
    <w:rPr>
      <w:rFonts w:ascii="Times New Roman" w:hAnsi="Times New Roman"/>
      <w:b/>
      <w:caps/>
      <w:snapToGrid/>
      <w:sz w:val="22"/>
      <w:u w:val="single"/>
    </w:rPr>
  </w:style>
  <w:style w:type="paragraph" w:customStyle="1" w:styleId="GOHEAD">
    <w:name w:val="G&amp;OHEAD"/>
    <w:basedOn w:val="Mission"/>
    <w:pPr>
      <w:spacing w:after="0"/>
    </w:pPr>
  </w:style>
  <w:style w:type="paragraph" w:customStyle="1" w:styleId="goal">
    <w:name w:val="goal"/>
    <w:basedOn w:val="Normal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</w:tabs>
      <w:spacing w:before="120" w:after="120"/>
      <w:ind w:left="864" w:hanging="864"/>
    </w:pPr>
    <w:rPr>
      <w:rFonts w:ascii="Times New Roman" w:hAnsi="Times New Roman"/>
      <w:snapToGrid/>
      <w:sz w:val="22"/>
    </w:rPr>
  </w:style>
  <w:style w:type="paragraph" w:customStyle="1" w:styleId="object-A">
    <w:name w:val="object-A"/>
    <w:basedOn w:val="goal"/>
    <w:pPr>
      <w:spacing w:before="0"/>
      <w:ind w:left="2304" w:hanging="1440"/>
    </w:pPr>
  </w:style>
  <w:style w:type="paragraph" w:customStyle="1" w:styleId="object-B">
    <w:name w:val="object-B"/>
    <w:basedOn w:val="object-A"/>
    <w:pPr>
      <w:ind w:hanging="288"/>
    </w:pPr>
  </w:style>
  <w:style w:type="paragraph" w:customStyle="1" w:styleId="tables">
    <w:name w:val="tables"/>
    <w:basedOn w:val="Normal"/>
    <w:pPr>
      <w:jc w:val="center"/>
    </w:pPr>
    <w:rPr>
      <w:rFonts w:ascii="Times New Roman" w:hAnsi="Times New Roman"/>
      <w:snapToGrid/>
      <w:sz w:val="22"/>
    </w:rPr>
  </w:style>
  <w:style w:type="paragraph" w:styleId="Title">
    <w:name w:val="Title"/>
    <w:basedOn w:val="Normal"/>
    <w:qFormat/>
    <w:pPr>
      <w:widowControl/>
      <w:ind w:left="360"/>
      <w:jc w:val="center"/>
    </w:pPr>
    <w:rPr>
      <w:rFonts w:ascii="Times New Roman" w:hAnsi="Times New Roman"/>
      <w:b/>
      <w:bCs/>
      <w:snapToGrid/>
      <w:szCs w:val="24"/>
    </w:rPr>
  </w:style>
  <w:style w:type="paragraph" w:styleId="BalloonText">
    <w:name w:val="Balloon Text"/>
    <w:basedOn w:val="Normal"/>
    <w:semiHidden/>
    <w:rsid w:val="00764BB6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pPr>
      <w:widowControl w:val="0"/>
    </w:pPr>
    <w:rPr>
      <w:rFonts w:ascii="Arial" w:hAnsi="Arial"/>
      <w:snapToGrid w:val="0"/>
      <w:sz w:val="24"/>
    </w:rPr>
  </w:style>
  <w:style w:type="paragraph" w:styleId="Heading1">
    <w:name w:val="heading 1"/>
    <w:basedOn w:val="Normal"/>
    <w:next w:val="Normal"/>
    <w:qFormat/>
    <w:pPr>
      <w:keepNext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qFormat/>
    <w:pPr>
      <w:keepNext/>
      <w:tabs>
        <w:tab w:val="center" w:pos="4680"/>
      </w:tabs>
      <w:jc w:val="center"/>
      <w:outlineLvl w:val="1"/>
    </w:pPr>
    <w:rPr>
      <w:b/>
      <w:i/>
      <w:sz w:val="32"/>
    </w:rPr>
  </w:style>
  <w:style w:type="paragraph" w:styleId="Heading3">
    <w:name w:val="heading 3"/>
    <w:basedOn w:val="Normal"/>
    <w:next w:val="Normal"/>
    <w:qFormat/>
    <w:pPr>
      <w:keepNext/>
      <w:spacing w:after="120"/>
      <w:jc w:val="center"/>
      <w:outlineLvl w:val="2"/>
    </w:pPr>
    <w:rPr>
      <w:b/>
      <w:i/>
    </w:rPr>
  </w:style>
  <w:style w:type="paragraph" w:styleId="Heading4">
    <w:name w:val="heading 4"/>
    <w:basedOn w:val="Normal"/>
    <w:next w:val="Normal"/>
    <w:qFormat/>
    <w:pPr>
      <w:keepNext/>
      <w:jc w:val="center"/>
      <w:outlineLvl w:val="3"/>
    </w:pPr>
    <w:rPr>
      <w:b/>
    </w:rPr>
  </w:style>
  <w:style w:type="paragraph" w:styleId="Heading5">
    <w:name w:val="heading 5"/>
    <w:basedOn w:val="Normal"/>
    <w:next w:val="Normal"/>
    <w:qFormat/>
    <w:pPr>
      <w:keepNext/>
      <w:ind w:firstLine="720"/>
      <w:jc w:val="right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outlineLvl w:val="5"/>
    </w:pPr>
    <w:rPr>
      <w:b/>
      <w:sz w:val="40"/>
    </w:rPr>
  </w:style>
  <w:style w:type="paragraph" w:styleId="Heading7">
    <w:name w:val="heading 7"/>
    <w:basedOn w:val="Normal"/>
    <w:next w:val="Normal"/>
    <w:qFormat/>
    <w:pPr>
      <w:keepNext/>
      <w:outlineLvl w:val="6"/>
    </w:pPr>
    <w:rPr>
      <w:rFonts w:ascii="Garamond" w:hAnsi="Garamond"/>
      <w:i/>
      <w:sz w:val="28"/>
    </w:rPr>
  </w:style>
  <w:style w:type="paragraph" w:styleId="Heading8">
    <w:name w:val="heading 8"/>
    <w:basedOn w:val="Normal"/>
    <w:next w:val="Normal"/>
    <w:qFormat/>
    <w:pPr>
      <w:keepNext/>
      <w:jc w:val="right"/>
      <w:outlineLvl w:val="7"/>
    </w:pPr>
    <w:rPr>
      <w:b/>
      <w:bCs/>
    </w:rPr>
  </w:style>
  <w:style w:type="paragraph" w:styleId="Heading9">
    <w:name w:val="heading 9"/>
    <w:basedOn w:val="Normal"/>
    <w:next w:val="Normal"/>
    <w:qFormat/>
    <w:pPr>
      <w:keepNext/>
      <w:outlineLvl w:val="8"/>
    </w:pPr>
    <w:rPr>
      <w:rFonts w:ascii="ShelleyVolante BT" w:hAnsi="ShelleyVolante BT"/>
      <w:color w:val="1C60AB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paragraph" w:styleId="DocumentMap">
    <w:name w:val="Document Map"/>
    <w:basedOn w:val="Normal"/>
    <w:semiHidden/>
    <w:pPr>
      <w:shd w:val="clear" w:color="auto" w:fill="000080"/>
    </w:pPr>
    <w:rPr>
      <w:rFonts w:ascii="Tahoma" w:hAnsi="Tahoma"/>
    </w:rPr>
  </w:style>
  <w:style w:type="paragraph" w:styleId="PlainText">
    <w:name w:val="Plain Text"/>
    <w:basedOn w:val="Normal"/>
    <w:pPr>
      <w:widowControl/>
    </w:pPr>
    <w:rPr>
      <w:rFonts w:ascii="Courier New" w:hAnsi="Courier New"/>
      <w:snapToGrid/>
      <w:sz w:val="20"/>
    </w:rPr>
  </w:style>
  <w:style w:type="paragraph" w:styleId="Header">
    <w:name w:val="header"/>
    <w:basedOn w:val="Normal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paragraph" w:customStyle="1" w:styleId="CompanyName">
    <w:name w:val="Company Name"/>
    <w:basedOn w:val="BodyText"/>
    <w:next w:val="Normal"/>
    <w:pPr>
      <w:keepNext/>
      <w:keepLines/>
      <w:widowControl/>
      <w:pBdr>
        <w:bottom w:val="single" w:sz="6" w:space="4" w:color="auto"/>
      </w:pBdr>
      <w:spacing w:before="120" w:after="60" w:line="280" w:lineRule="exact"/>
      <w:ind w:left="360" w:hanging="360"/>
    </w:pPr>
    <w:rPr>
      <w:b/>
      <w:caps/>
      <w:snapToGrid/>
      <w:sz w:val="22"/>
    </w:rPr>
  </w:style>
  <w:style w:type="paragraph" w:styleId="BodyText">
    <w:name w:val="Body Text"/>
    <w:basedOn w:val="Normal"/>
    <w:pPr>
      <w:spacing w:after="120"/>
    </w:pPr>
  </w:style>
  <w:style w:type="paragraph" w:styleId="BodyText2">
    <w:name w:val="Body Text 2"/>
    <w:basedOn w:val="Normal"/>
    <w:pPr>
      <w:jc w:val="both"/>
    </w:pPr>
  </w:style>
  <w:style w:type="character" w:styleId="Hyperlink">
    <w:name w:val="Hyperlink"/>
    <w:rPr>
      <w:color w:val="0000FF"/>
      <w:u w:val="single"/>
    </w:rPr>
  </w:style>
  <w:style w:type="paragraph" w:styleId="BodyTextIndent">
    <w:name w:val="Body Text Indent"/>
    <w:basedOn w:val="Normal"/>
    <w:pPr>
      <w:ind w:firstLine="720"/>
      <w:jc w:val="both"/>
    </w:pPr>
  </w:style>
  <w:style w:type="character" w:styleId="FollowedHyperlink">
    <w:name w:val="FollowedHyperlink"/>
    <w:rPr>
      <w:color w:val="800080"/>
      <w:u w:val="single"/>
    </w:rPr>
  </w:style>
  <w:style w:type="paragraph" w:styleId="Caption">
    <w:name w:val="caption"/>
    <w:basedOn w:val="Normal"/>
    <w:next w:val="Normal"/>
    <w:qFormat/>
    <w:pPr>
      <w:outlineLvl w:val="0"/>
    </w:pPr>
    <w:rPr>
      <w:sz w:val="28"/>
    </w:rPr>
  </w:style>
  <w:style w:type="character" w:styleId="PageNumber">
    <w:name w:val="page number"/>
    <w:basedOn w:val="DefaultParagraphFont"/>
  </w:style>
  <w:style w:type="paragraph" w:customStyle="1" w:styleId="Mission">
    <w:name w:val="Mission"/>
    <w:basedOn w:val="Normal"/>
    <w:pPr>
      <w:spacing w:before="240" w:after="120"/>
    </w:pPr>
    <w:rPr>
      <w:rFonts w:ascii="Times New Roman" w:hAnsi="Times New Roman"/>
      <w:b/>
      <w:caps/>
      <w:snapToGrid/>
      <w:sz w:val="22"/>
      <w:u w:val="single"/>
    </w:rPr>
  </w:style>
  <w:style w:type="paragraph" w:customStyle="1" w:styleId="GOHEAD">
    <w:name w:val="G&amp;OHEAD"/>
    <w:basedOn w:val="Mission"/>
    <w:pPr>
      <w:spacing w:after="0"/>
    </w:pPr>
  </w:style>
  <w:style w:type="paragraph" w:customStyle="1" w:styleId="goal">
    <w:name w:val="goal"/>
    <w:basedOn w:val="Normal"/>
    <w:pPr>
      <w:tabs>
        <w:tab w:val="left" w:pos="288"/>
        <w:tab w:val="left" w:pos="576"/>
        <w:tab w:val="left" w:pos="864"/>
        <w:tab w:val="left" w:pos="1152"/>
        <w:tab w:val="left" w:pos="1440"/>
        <w:tab w:val="left" w:pos="1728"/>
        <w:tab w:val="left" w:pos="2016"/>
        <w:tab w:val="left" w:pos="2304"/>
      </w:tabs>
      <w:spacing w:before="120" w:after="120"/>
      <w:ind w:left="864" w:hanging="864"/>
    </w:pPr>
    <w:rPr>
      <w:rFonts w:ascii="Times New Roman" w:hAnsi="Times New Roman"/>
      <w:snapToGrid/>
      <w:sz w:val="22"/>
    </w:rPr>
  </w:style>
  <w:style w:type="paragraph" w:customStyle="1" w:styleId="object-A">
    <w:name w:val="object-A"/>
    <w:basedOn w:val="goal"/>
    <w:pPr>
      <w:spacing w:before="0"/>
      <w:ind w:left="2304" w:hanging="1440"/>
    </w:pPr>
  </w:style>
  <w:style w:type="paragraph" w:customStyle="1" w:styleId="object-B">
    <w:name w:val="object-B"/>
    <w:basedOn w:val="object-A"/>
    <w:pPr>
      <w:ind w:hanging="288"/>
    </w:pPr>
  </w:style>
  <w:style w:type="paragraph" w:customStyle="1" w:styleId="tables">
    <w:name w:val="tables"/>
    <w:basedOn w:val="Normal"/>
    <w:pPr>
      <w:jc w:val="center"/>
    </w:pPr>
    <w:rPr>
      <w:rFonts w:ascii="Times New Roman" w:hAnsi="Times New Roman"/>
      <w:snapToGrid/>
      <w:sz w:val="22"/>
    </w:rPr>
  </w:style>
  <w:style w:type="paragraph" w:styleId="Title">
    <w:name w:val="Title"/>
    <w:basedOn w:val="Normal"/>
    <w:qFormat/>
    <w:pPr>
      <w:widowControl/>
      <w:ind w:left="360"/>
      <w:jc w:val="center"/>
    </w:pPr>
    <w:rPr>
      <w:rFonts w:ascii="Times New Roman" w:hAnsi="Times New Roman"/>
      <w:b/>
      <w:bCs/>
      <w:snapToGrid/>
      <w:szCs w:val="24"/>
    </w:rPr>
  </w:style>
  <w:style w:type="paragraph" w:styleId="BalloonText">
    <w:name w:val="Balloon Text"/>
    <w:basedOn w:val="Normal"/>
    <w:semiHidden/>
    <w:rsid w:val="00764BB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chart" Target="charts/chart1.xml"/><Relationship Id="rId14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/>
          <a:lstStyle/>
          <a:p>
            <a:pPr>
              <a:defRPr sz="1400" b="1"/>
            </a:pPr>
            <a:r>
              <a:rPr lang="en-US" sz="1400" b="1">
                <a:latin typeface="Leelawadee" panose="020B0502040204020203" pitchFamily="34" charset="-34"/>
                <a:cs typeface="Leelawadee" panose="020B0502040204020203" pitchFamily="34" charset="-34"/>
              </a:rPr>
              <a:t>OPERATING FUNDS ENDING BALANCES</a:t>
            </a:r>
          </a:p>
        </c:rich>
      </c:tx>
      <c:layout>
        <c:manualLayout>
          <c:xMode val="edge"/>
          <c:yMode val="edge"/>
          <c:x val="0.28990068808966446"/>
          <c:y val="5.4023015164341569E-2"/>
        </c:manualLayout>
      </c:layout>
      <c:overlay val="0"/>
      <c:spPr>
        <a:solidFill>
          <a:srgbClr val="FFFFFF"/>
        </a:solidFill>
        <a:ln w="25400">
          <a:noFill/>
        </a:ln>
      </c:spPr>
    </c:title>
    <c:autoTitleDeleted val="0"/>
    <c:plotArea>
      <c:layout>
        <c:manualLayout>
          <c:layoutTarget val="inner"/>
          <c:xMode val="edge"/>
          <c:yMode val="edge"/>
          <c:x val="5.8921483038516846E-2"/>
          <c:y val="0.12052269239540933"/>
          <c:w val="0.93738603584132174"/>
          <c:h val="0.69327654919423731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'Fund Balance'!$A$4:$B$4</c:f>
              <c:strCache>
                <c:ptCount val="1"/>
                <c:pt idx="0">
                  <c:v>General Fund</c:v>
                </c:pt>
              </c:strCache>
            </c:strRef>
          </c:tx>
          <c:spPr>
            <a:solidFill>
              <a:schemeClr val="accent3">
                <a:lumMod val="75000"/>
              </a:schemeClr>
            </a:solidFill>
            <a:ln w="12700">
              <a:solidFill>
                <a:srgbClr val="000000"/>
              </a:solidFill>
              <a:prstDash val="solid"/>
            </a:ln>
          </c:spPr>
          <c:invertIfNegative val="0"/>
          <c:dLbls>
            <c:dLbl>
              <c:idx val="0"/>
              <c:layout>
                <c:manualLayout>
                  <c:x val="-6.5314605944527208E-3"/>
                  <c:y val="2.962129733783277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-6.0143292899198413E-3"/>
                  <c:y val="8.528637528556353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-5.7835000354685391E-3"/>
                  <c:y val="7.363770250368188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-8.1174718025111732E-3"/>
                  <c:y val="7.49693659426592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-7.2860892388451441E-3"/>
                  <c:y val="4.909180166912125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-5.2696318365609701E-3"/>
                  <c:y val="9.951719952531707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-8.4583954032772923E-3"/>
                  <c:y val="7.2304106316608231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7"/>
              <c:layout>
                <c:manualLayout>
                  <c:x val="-4.8316663119812725E-3"/>
                  <c:y val="2.5879497021635183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-9.4078172660849828E-3"/>
                  <c:y val="4.9091801669121256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9"/>
              <c:layout>
                <c:manualLayout>
                  <c:x val="-1.0268004712543332E-2"/>
                  <c:y val="9.818360333824251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0"/>
              <c:layout>
                <c:manualLayout>
                  <c:x val="-7.1916576770945824E-3"/>
                  <c:y val="-2.4473813020068659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&quot;$&quot;#,##0.0" sourceLinked="0"/>
            <c:txPr>
              <a:bodyPr/>
              <a:lstStyle/>
              <a:p>
                <a:pPr>
                  <a:defRPr sz="1000"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'Fund Balance'!$C$2:$Q$2</c:f>
              <c:strCache>
                <c:ptCount val="10"/>
                <c:pt idx="0">
                  <c:v>FY 2006 Actual</c:v>
                </c:pt>
                <c:pt idx="1">
                  <c:v>FY 2007 Actual</c:v>
                </c:pt>
                <c:pt idx="2">
                  <c:v>FY 2008 Actual </c:v>
                </c:pt>
                <c:pt idx="3">
                  <c:v>FY 2009 Actual</c:v>
                </c:pt>
                <c:pt idx="4">
                  <c:v>FY 2010 Actual</c:v>
                </c:pt>
                <c:pt idx="5">
                  <c:v>FY 2011 Actual</c:v>
                </c:pt>
                <c:pt idx="6">
                  <c:v>FY 2012 Actual </c:v>
                </c:pt>
                <c:pt idx="7">
                  <c:v>FY 2013 Actual</c:v>
                </c:pt>
                <c:pt idx="8">
                  <c:v>FY 2014 Adopted</c:v>
                </c:pt>
                <c:pt idx="9">
                  <c:v>FY 2015 Proposed</c:v>
                </c:pt>
              </c:strCache>
            </c:strRef>
          </c:cat>
          <c:val>
            <c:numRef>
              <c:f>'Fund Balance'!$C$4:$Q$4</c:f>
              <c:numCache>
                <c:formatCode>#,##0.0</c:formatCode>
                <c:ptCount val="10"/>
                <c:pt idx="0">
                  <c:v>46828306</c:v>
                </c:pt>
                <c:pt idx="1">
                  <c:v>68195725</c:v>
                </c:pt>
                <c:pt idx="2">
                  <c:v>85307488</c:v>
                </c:pt>
                <c:pt idx="3">
                  <c:v>65994358</c:v>
                </c:pt>
                <c:pt idx="4">
                  <c:v>79646185</c:v>
                </c:pt>
                <c:pt idx="5">
                  <c:v>47995750</c:v>
                </c:pt>
                <c:pt idx="6">
                  <c:v>32055084</c:v>
                </c:pt>
                <c:pt idx="7" formatCode="_(* #,##0_);_(* \(#,##0\);_(* &quot;-&quot;??_);_(@_)">
                  <c:v>45069864</c:v>
                </c:pt>
                <c:pt idx="8" formatCode="_(* #,##0_);_(* \(#,##0\);_(* &quot;-&quot;??_);_(@_)">
                  <c:v>60385246</c:v>
                </c:pt>
                <c:pt idx="9" formatCode="_(* #,##0_);_(* \(#,##0\);_(* &quot;-&quot;??_);_(@_)">
                  <c:v>65342069</c:v>
                </c:pt>
              </c:numCache>
            </c:numRef>
          </c:val>
        </c:ser>
        <c:ser>
          <c:idx val="1"/>
          <c:order val="1"/>
          <c:tx>
            <c:strRef>
              <c:f>'Fund Balance'!$A$5:$B$5</c:f>
              <c:strCache>
                <c:ptCount val="1"/>
                <c:pt idx="0">
                  <c:v>All Funds</c:v>
                </c:pt>
              </c:strCache>
            </c:strRef>
          </c:tx>
          <c:spPr>
            <a:solidFill>
              <a:schemeClr val="tx2">
                <a:lumMod val="60000"/>
                <a:lumOff val="40000"/>
              </a:schemeClr>
            </a:solidFill>
            <a:ln w="12700">
              <a:solidFill>
                <a:srgbClr val="000000"/>
              </a:solidFill>
              <a:prstDash val="solid"/>
            </a:ln>
          </c:spPr>
          <c:invertIfNegative val="0"/>
          <c:dLbls>
            <c:dLbl>
              <c:idx val="0"/>
              <c:layout>
                <c:manualLayout>
                  <c:x val="-2.0129105483436193E-3"/>
                  <c:y val="9.9277538761262645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1"/>
              <c:layout>
                <c:manualLayout>
                  <c:x val="0"/>
                  <c:y val="1.0037340693238087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2"/>
              <c:layout>
                <c:manualLayout>
                  <c:x val="3.6902418573970997E-17"/>
                  <c:y val="7.692307692307692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3"/>
              <c:layout>
                <c:manualLayout>
                  <c:x val="0"/>
                  <c:y val="1.025641025641025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4"/>
              <c:layout>
                <c:manualLayout>
                  <c:x val="0"/>
                  <c:y val="7.3637702503681884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5"/>
              <c:layout>
                <c:manualLayout>
                  <c:x val="-4.0257648953301124E-3"/>
                  <c:y val="7.6923076923076927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6"/>
              <c:layout>
                <c:manualLayout>
                  <c:x val="0"/>
                  <c:y val="7.9113177863076398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7"/>
              <c:layout>
                <c:manualLayout>
                  <c:x val="0"/>
                  <c:y val="5.128205128205128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8"/>
              <c:layout>
                <c:manualLayout>
                  <c:x val="0"/>
                  <c:y val="1.0256410256410256E-2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dLbl>
              <c:idx val="9"/>
              <c:layout>
                <c:manualLayout>
                  <c:x val="0"/>
                  <c:y val="5.1282051282051282E-3"/>
                </c:manualLayout>
              </c:layout>
              <c:showLegendKey val="0"/>
              <c:showVal val="1"/>
              <c:showCatName val="0"/>
              <c:showSerName val="0"/>
              <c:showPercent val="0"/>
              <c:showBubbleSize val="0"/>
            </c:dLbl>
            <c:numFmt formatCode="&quot;$&quot;#,##0.0" sourceLinked="0"/>
            <c:txPr>
              <a:bodyPr/>
              <a:lstStyle/>
              <a:p>
                <a:pPr>
                  <a:defRPr sz="1000" b="1"/>
                </a:pPr>
                <a:endParaRPr lang="en-US"/>
              </a:p>
            </c:txPr>
            <c:showLegendKey val="0"/>
            <c:showVal val="1"/>
            <c:showCatName val="0"/>
            <c:showSerName val="0"/>
            <c:showPercent val="0"/>
            <c:showBubbleSize val="0"/>
            <c:showLeaderLines val="0"/>
          </c:dLbls>
          <c:cat>
            <c:strRef>
              <c:f>'Fund Balance'!$C$2:$Q$2</c:f>
              <c:strCache>
                <c:ptCount val="10"/>
                <c:pt idx="0">
                  <c:v>FY 2006 Actual</c:v>
                </c:pt>
                <c:pt idx="1">
                  <c:v>FY 2007 Actual</c:v>
                </c:pt>
                <c:pt idx="2">
                  <c:v>FY 2008 Actual </c:v>
                </c:pt>
                <c:pt idx="3">
                  <c:v>FY 2009 Actual</c:v>
                </c:pt>
                <c:pt idx="4">
                  <c:v>FY 2010 Actual</c:v>
                </c:pt>
                <c:pt idx="5">
                  <c:v>FY 2011 Actual</c:v>
                </c:pt>
                <c:pt idx="6">
                  <c:v>FY 2012 Actual </c:v>
                </c:pt>
                <c:pt idx="7">
                  <c:v>FY 2013 Actual</c:v>
                </c:pt>
                <c:pt idx="8">
                  <c:v>FY 2014 Adopted</c:v>
                </c:pt>
                <c:pt idx="9">
                  <c:v>FY 2015 Proposed</c:v>
                </c:pt>
              </c:strCache>
            </c:strRef>
          </c:cat>
          <c:val>
            <c:numRef>
              <c:f>'Fund Balance'!$C$5:$Q$5</c:f>
              <c:numCache>
                <c:formatCode>#,##0.0</c:formatCode>
                <c:ptCount val="10"/>
                <c:pt idx="0">
                  <c:v>87475715</c:v>
                </c:pt>
                <c:pt idx="1">
                  <c:v>107857401</c:v>
                </c:pt>
                <c:pt idx="2">
                  <c:v>119954785</c:v>
                </c:pt>
                <c:pt idx="3">
                  <c:v>96372882</c:v>
                </c:pt>
                <c:pt idx="4">
                  <c:v>120762780.48999999</c:v>
                </c:pt>
                <c:pt idx="5">
                  <c:v>117120842</c:v>
                </c:pt>
                <c:pt idx="6">
                  <c:v>108698456</c:v>
                </c:pt>
                <c:pt idx="7">
                  <c:v>97706327</c:v>
                </c:pt>
                <c:pt idx="8">
                  <c:v>98548041</c:v>
                </c:pt>
                <c:pt idx="9">
                  <c:v>99563821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45"/>
        <c:axId val="114169344"/>
        <c:axId val="114170880"/>
      </c:barChart>
      <c:catAx>
        <c:axId val="114169344"/>
        <c:scaling>
          <c:orientation val="minMax"/>
        </c:scaling>
        <c:delete val="0"/>
        <c:axPos val="b"/>
        <c:numFmt formatCode="General" sourceLinked="1"/>
        <c:majorTickMark val="out"/>
        <c:minorTickMark val="none"/>
        <c:tickLblPos val="low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1"/>
            </a:pPr>
            <a:endParaRPr lang="en-US"/>
          </a:p>
        </c:txPr>
        <c:crossAx val="114170880"/>
        <c:crosses val="autoZero"/>
        <c:auto val="1"/>
        <c:lblAlgn val="ctr"/>
        <c:lblOffset val="100"/>
        <c:noMultiLvlLbl val="0"/>
      </c:catAx>
      <c:valAx>
        <c:axId val="114170880"/>
        <c:scaling>
          <c:orientation val="minMax"/>
          <c:max val="160000000"/>
        </c:scaling>
        <c:delete val="0"/>
        <c:axPos val="l"/>
        <c:numFmt formatCode="#,##0" sourceLinked="0"/>
        <c:majorTickMark val="out"/>
        <c:minorTickMark val="none"/>
        <c:tickLblPos val="nextTo"/>
        <c:spPr>
          <a:ln w="3175">
            <a:solidFill>
              <a:srgbClr val="000000"/>
            </a:solidFill>
            <a:prstDash val="solid"/>
          </a:ln>
        </c:spPr>
        <c:txPr>
          <a:bodyPr rot="0" vert="horz"/>
          <a:lstStyle/>
          <a:p>
            <a:pPr>
              <a:defRPr sz="1000" b="1"/>
            </a:pPr>
            <a:endParaRPr lang="en-US"/>
          </a:p>
        </c:txPr>
        <c:crossAx val="114169344"/>
        <c:crosses val="autoZero"/>
        <c:crossBetween val="between"/>
        <c:dispUnits>
          <c:builtInUnit val="millions"/>
          <c:dispUnitsLbl>
            <c:layout>
              <c:manualLayout>
                <c:xMode val="edge"/>
                <c:yMode val="edge"/>
                <c:x val="1.6013336170816485E-3"/>
                <c:y val="6.7735669639233234E-2"/>
              </c:manualLayout>
            </c:layout>
            <c:tx>
              <c:rich>
                <a:bodyPr rot="0" vert="horz"/>
                <a:lstStyle/>
                <a:p>
                  <a:pPr algn="ctr">
                    <a:defRPr sz="1000" b="1"/>
                  </a:pPr>
                  <a:r>
                    <a:rPr lang="en-US" sz="1000" b="1"/>
                    <a:t>Millions $</a:t>
                  </a:r>
                </a:p>
              </c:rich>
            </c:tx>
            <c:spPr>
              <a:noFill/>
              <a:ln w="25400">
                <a:noFill/>
              </a:ln>
            </c:spPr>
          </c:dispUnitsLbl>
        </c:dispUnits>
      </c:valAx>
      <c:spPr>
        <a:gradFill>
          <a:gsLst>
            <a:gs pos="100000">
              <a:srgbClr val="DEDEFF">
                <a:lumMod val="0"/>
                <a:lumOff val="100000"/>
                <a:alpha val="69000"/>
              </a:srgbClr>
            </a:gs>
            <a:gs pos="0">
              <a:srgbClr val="FFFFFF"/>
            </a:gs>
            <a:gs pos="100000">
              <a:srgbClr val="CCCCFF"/>
            </a:gs>
          </a:gsLst>
          <a:lin ang="5400000" scaled="1"/>
        </a:gradFill>
        <a:ln w="19050">
          <a:solidFill>
            <a:srgbClr val="808080"/>
          </a:solidFill>
          <a:prstDash val="solid"/>
        </a:ln>
        <a:effectLst>
          <a:innerShdw dist="50800" dir="8100000">
            <a:prstClr val="black">
              <a:alpha val="0"/>
            </a:prstClr>
          </a:innerShdw>
        </a:effectLst>
      </c:spPr>
    </c:plotArea>
    <c:legend>
      <c:legendPos val="r"/>
      <c:layout>
        <c:manualLayout>
          <c:xMode val="edge"/>
          <c:yMode val="edge"/>
          <c:x val="5.8098624378088395E-2"/>
          <c:y val="0.90451373990622308"/>
          <c:w val="0.91678476277655818"/>
          <c:h val="6.8745917069644627E-2"/>
        </c:manualLayout>
      </c:layout>
      <c:overlay val="0"/>
      <c:spPr>
        <a:solidFill>
          <a:srgbClr val="FFFFFF"/>
        </a:solidFill>
        <a:ln w="9525" cap="rnd">
          <a:noFill/>
          <a:prstDash val="solid"/>
        </a:ln>
        <a:effectLst/>
      </c:spPr>
      <c:txPr>
        <a:bodyPr/>
        <a:lstStyle/>
        <a:p>
          <a:pPr>
            <a:defRPr sz="1200" b="1">
              <a:latin typeface="Leelawadee" panose="020B0502040204020203" pitchFamily="34" charset="-34"/>
              <a:cs typeface="Leelawadee" panose="020B0502040204020203" pitchFamily="34" charset="-34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rgbClr val="FFFFFF"/>
    </a:solidFill>
    <a:ln w="9525">
      <a:noFill/>
    </a:ln>
  </c:spPr>
  <c:txPr>
    <a:bodyPr/>
    <a:lstStyle/>
    <a:p>
      <a:pPr>
        <a:defRPr sz="800" b="0" i="0" u="none" strike="noStrike" baseline="0">
          <a:solidFill>
            <a:srgbClr val="000000"/>
          </a:solidFill>
          <a:latin typeface="+mn-lt"/>
          <a:ea typeface="Arial"/>
          <a:cs typeface="Arial"/>
        </a:defRPr>
      </a:pPr>
      <a:endParaRPr lang="en-US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047F12-90F3-4652-B336-F616D6C74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</Pages>
  <Words>192</Words>
  <Characters>1015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City of Fort Lauderdale</Company>
  <LinksUpToDate>false</LinksUpToDate>
  <CharactersWithSpaces>1205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Diane Marshall</dc:creator>
  <cp:lastModifiedBy>Emilie Smith</cp:lastModifiedBy>
  <cp:revision>11</cp:revision>
  <cp:lastPrinted>2014-06-24T18:52:00Z</cp:lastPrinted>
  <dcterms:created xsi:type="dcterms:W3CDTF">2014-06-20T01:29:00Z</dcterms:created>
  <dcterms:modified xsi:type="dcterms:W3CDTF">2014-06-24T20:31:00Z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