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ppercase"/>
      </w:pPr>
      <w:r>
        <w:t>SYGNATURA</w:t>
      </w:r>
    </w:p>
    <w:p>
      <w:pPr>
        <w:pStyle w:val="City-and-date"/>
      </w:pPr>
      <w:r>
        <w:t>Grodzisk Wlkp., 2019-07-15</w:t>
      </w:r>
    </w:p>
    <w:p>
      <w:pPr>
        <w:pStyle w:val="Title-uppercase"/>
      </w:pPr>
      <w:r>
        <w:t>ORZECZENIE NR 42</w:t>
      </w:r>
    </w:p>
    <w:p>
      <w:pPr>
        <w:pStyle w:val="Title-lowercase"/>
      </w:pPr>
      <w:r>
        <w:t>o potrzebie kształcenia specjalnego</w:t>
      </w:r>
    </w:p>
    <w:p>
      <w:pPr>
        <w:pStyle w:val="LegalBasis"/>
      </w:pPr>
      <w:r>
        <w:t>Działając na podstawie art. 127 ust. 10 ustawy z dnia 14 grudnia 2016 r. – Prawo oświatowe (Dz. U. z 2017 r. poz. 59 i 949),</w:t>
      </w:r>
    </w:p>
    <w:p>
      <w:pPr>
        <w:spacing w:after="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 wniosek </w:t>
      </w:r>
      <w:r>
        <w:rPr>
          <w:rStyle w:val="SubtitledRunZnak"/>
        </w:rPr>
        <w:t>Tomasz Rzeźniczak i Adelajda Słoneczko</w:t>
      </w:r>
    </w:p>
    <w:p>
      <w:pPr>
        <w:pStyle w:val="Subtitle1"/>
      </w:pPr>
      <w:r>
        <w:t>(imię i nazwisko wnioskodawcy)</w:t>
      </w:r>
    </w:p>
    <w:p>
      <w:pPr>
        <w:pStyle w:val="SubtitledRun"/>
      </w:pPr>
      <w:r>
        <w:t>Zespół Orzekający przy Poradni Psychologiczno-Pedagogicznej we Wrześni, ul. Zbąszyńska 11, 62-055 Grodzisk Wlkp.</w:t>
      </w:r>
    </w:p>
    <w:p>
      <w:pPr>
        <w:pStyle w:val="Subtitle1"/>
      </w:pPr>
      <w:r>
        <w:t>(nazwa i adres publicznej poradni psychologiczno-pedagogicznej)</w:t>
      </w:r>
    </w:p>
    <w:p>
      <w:pPr>
        <w:pStyle w:val="Pre-staff"/>
      </w:pPr>
      <w:r>
        <w:t>w składzie:</w:t>
      </w:r>
    </w:p>
    <w:p>
      <w:pPr>
        <w:pStyle w:val="Staff"/>
      </w:pPr>
      <w:r>
        <w:t>Antoni Stąsz-Lebieź - Przewodniczący Zespołu Orzekającego</w:t>
      </w:r>
    </w:p>
    <w:p>
      <w:pPr>
        <w:pStyle w:val="Staff"/>
      </w:pPr>
      <w:r>
        <w:t>mgr Leonia Witek-Konuś - psycholog, tyflopedagog</w:t>
      </w:r>
    </w:p>
    <w:p>
      <w:pPr>
        <w:pStyle w:val="Staff"/>
      </w:pPr>
      <w:r>
        <w:t>mgr Eleonora Roseveelt - socjoterapeuta, tyflopedagog</w:t>
      </w:r>
    </w:p>
    <w:p>
      <w:pPr>
        <w:pStyle w:val="sentence"/>
      </w:pPr>
      <w:r>
        <w:t>orzeka o potrzebie kształcenia specjalnego</w:t>
      </w:r>
    </w:p>
    <w:p>
      <w:pPr>
        <w:pStyle w:val="SubtitledRun"/>
      </w:pPr>
      <w:r>
        <w:t>Wiktor Rzeźniczak</w:t>
      </w:r>
    </w:p>
    <w:p>
      <w:pPr>
        <w:pStyle w:val="Subtitle1"/>
      </w:pPr>
      <w:r>
        <w:t>(imię/imiona i nazwisko dziecka lub ucznia)</w:t>
      </w:r>
    </w:p>
    <w:p>
      <w:pPr>
        <w:pStyle w:val="SubtitledRun"/>
      </w:pPr>
      <w:r>
        <w:t>2012-12-24r., Pachy Wielkie</w:t>
      </w:r>
    </w:p>
    <w:p>
      <w:pPr>
        <w:pStyle w:val="Subtitle1"/>
      </w:pPr>
      <w:r>
        <w:t>(data i miejsce urodzenia dziecka lub ucznia)</w:t>
      </w:r>
    </w:p>
    <w:p>
      <w:pPr>
        <w:pStyle w:val="SubtitledRun"/>
      </w:pPr>
      <w:r>
        <w:t>12121244441</w:t>
      </w:r>
    </w:p>
    <w:p>
      <w:pPr>
        <w:pStyle w:val="Subtitle1"/>
      </w:pPr>
      <w:r>
        <w:t>(numer PESEL dziecka lub ucznia, a w przypadku braku numeru PESEL – seria i numer dokumentu potwierdzającego jego tożsamość)</w:t>
      </w:r>
    </w:p>
    <w:p>
      <w:pPr>
        <w:pStyle w:val="SubtitledRun"/>
      </w:pPr>
      <w:r>
        <w:t>Mostowa 38, 61-854 Poznań</w:t>
      </w:r>
    </w:p>
    <w:p>
      <w:pPr>
        <w:pStyle w:val="Subtitle1"/>
      </w:pPr>
      <w:r>
        <w:t>(adres zamieszkania dziecka lub ucznia)</w:t>
      </w:r>
    </w:p>
    <w:p>
      <w:pPr>
        <w:pStyle w:val="SubtitledRun"/>
      </w:pPr>
      <w:r>
        <w:t>Szkoła Podstawowa nr 4 w Grodzisku Wlkp., ul. Jasna 33, 62-222 Grodzisk Wlkp., 3b, murarz</w:t>
      </w:r>
    </w:p>
    <w:p>
      <w:pPr>
        <w:pStyle w:val="Subtitle1"/>
      </w:pPr>
      <w:r>
        <w:t>(nazwa i adres przedszkola, innej formy wychowania przedszkolnego, szkoły lub ośrodka, o którym mowa w art. 2 pkt 7 ustawy z dnia 14 grudnia 2016 r. – Prawo oświatowe, a w przypadku ucznia – także oznaczenie oddziału w szkole oraz nazwa zawodu</w:t>
      </w:r>
      <w:r>
        <w:rPr>
          <w:rStyle w:val="Odwoanieprzypisudolnego"/>
        </w:rPr>
        <w:footnoteReference w:id="1"/>
      </w:r>
      <w:r>
        <w:t>)</w:t>
      </w:r>
    </w:p>
    <w:p>
      <w:pPr>
        <w:pStyle w:val="SubtitledRun"/>
      </w:pPr>
      <w:r>
        <w:t/>
      </w:r>
    </w:p>
    <w:p>
      <w:pPr>
        <w:pStyle w:val="Subtitle1"/>
      </w:pPr>
      <w:r>
        <w:t>(imiona i nazwiska rodziców</w:t>
      </w:r>
      <w:r>
        <w:rPr>
          <w:rStyle w:val="Odwoanieprzypisudolnego"/>
        </w:rPr>
        <w:footnoteReference w:id="2"/>
      </w:r>
      <w:r>
        <w:t xml:space="preserve"> oraz adres ich zamieszkania)</w:t>
      </w:r>
    </w:p>
    <w:p>
      <w:r>
        <w:br w:type="page"/>
      </w:r>
    </w:p>
    <w:p>
      <w:pPr>
        <w:pStyle w:val="time-span"/>
      </w:pPr>
      <w:r>
        <w:lastRenderedPageBreak/>
        <w:t>na okres</w:t>
      </w:r>
      <w:r>
        <w:rPr>
          <w:rStyle w:val="Odwoanieprzypisudolnego"/>
        </w:rPr>
        <w:footnoteReference w:id="3"/>
      </w:r>
      <w:r>
        <w:t xml:space="preserve"/>
      </w:r>
      <w:r>
        <w:rPr>
          <w:b/>
        </w:rPr>
        <w:t>: pierwszy etap edukacyjny</w:t>
      </w:r>
    </w:p>
    <w:p>
      <w:pPr>
        <w:pStyle w:val="Pre-reason"/>
      </w:pPr>
      <w:r>
        <w:t>ze względu na</w:t>
      </w:r>
      <w:r>
        <w:rPr>
          <w:rStyle w:val="Odwoanieprzypisudolnego"/>
        </w:rPr>
        <w:footnoteReference w:id="4"/>
      </w:r>
      <w:r>
        <w:t xml:space="preserve">: </w:t>
      </w:r>
    </w:p>
    <w:p>
      <w:pPr>
        <w:pStyle w:val="Reason-list"/>
      </w:pPr>
      <w:r>
        <w:t>niepełnosprawność dziecka lub ucznia:</w:t>
      </w:r>
    </w:p>
    <w:p>
      <w:pPr>
        <w:pStyle w:val="Reason-list"/>
        <w:numPr>
          <w:ilvl w:val="1"/>
          <w:numId w:val="1"/>
        </w:numPr>
      </w:pPr>
      <w:r>
        <w:t>niesłyszące</w:t>
      </w:r>
    </w:p>
    <w:p>
      <w:pPr>
        <w:pStyle w:val="Reason-list"/>
        <w:numPr>
          <w:ilvl w:val="1"/>
          <w:numId w:val="1"/>
        </w:numPr>
      </w:pPr>
      <w:r>
        <w:t>słabosłyszące</w:t>
      </w:r>
    </w:p>
    <w:p>
      <w:pPr>
        <w:pStyle w:val="Reason-list"/>
        <w:numPr>
          <w:ilvl w:val="1"/>
          <w:numId w:val="1"/>
        </w:numPr>
      </w:pPr>
      <w:r>
        <w:t>niewidzące</w:t>
      </w:r>
    </w:p>
    <w:p>
      <w:pPr>
        <w:pStyle w:val="Reason-list"/>
        <w:numPr>
          <w:ilvl w:val="1"/>
          <w:numId w:val="1"/>
        </w:numPr>
      </w:pPr>
      <w:r>
        <w:t>słabowidzące</w:t>
      </w:r>
    </w:p>
    <w:p>
      <w:pPr>
        <w:pStyle w:val="Reason-list"/>
        <w:numPr>
          <w:ilvl w:val="1"/>
          <w:numId w:val="1"/>
        </w:numPr>
      </w:pPr>
      <w:r>
        <w:t>niepełnosprawne ruchowo, w tym z afazją</w:t>
      </w:r>
    </w:p>
    <w:p>
      <w:pPr>
        <w:pStyle w:val="Reason-list"/>
        <w:numPr>
          <w:ilvl w:val="1"/>
          <w:numId w:val="1"/>
        </w:numPr>
      </w:pPr>
      <w:r>
        <w:t>niepełnosprawne intelektualnie w stopniu lekkim</w:t>
      </w:r>
    </w:p>
    <w:p>
      <w:pPr>
        <w:pStyle w:val="Reason-list"/>
        <w:numPr>
          <w:ilvl w:val="1"/>
          <w:numId w:val="1"/>
        </w:numPr>
      </w:pPr>
      <w:r>
        <w:t>niepełnosprawne intelektualnie w stopniu umiarkowanym</w:t>
      </w:r>
    </w:p>
    <w:p>
      <w:pPr>
        <w:pStyle w:val="Reason-list"/>
        <w:numPr>
          <w:ilvl w:val="1"/>
          <w:numId w:val="1"/>
        </w:numPr>
      </w:pPr>
      <w:r>
        <w:t>niepełnosprawne intelektualnie w stopniu znacznym</w:t>
      </w:r>
    </w:p>
    <w:p>
      <w:pPr>
        <w:pStyle w:val="Reason-list"/>
        <w:numPr>
          <w:ilvl w:val="1"/>
          <w:numId w:val="1"/>
        </w:numPr>
      </w:pPr>
      <w:r>
        <w:t>z autyzmem, w tym z zespołem Aspergera</w:t>
      </w:r>
    </w:p>
    <w:p>
      <w:pPr>
        <w:pStyle w:val="Reason-list"/>
        <w:numPr>
          <w:ilvl w:val="1"/>
          <w:numId w:val="1"/>
        </w:numPr>
      </w:pPr>
      <w:r>
        <w:rPr>
          <w:u w:val="single"/>
        </w:rPr>
        <w:t>z niepełnosprawnością sprzężoną</w:t>
      </w:r>
      <w:r>
        <w:rPr>
          <w:rStyle w:val="Odwoanieprzypisudolnego"/>
          <w:u w:val="single"/>
        </w:rPr>
        <w:footnoteReference w:id="5"/>
      </w:r>
      <w:r>
        <w:rPr>
          <w:u w:val="single"/>
        </w:rPr>
        <w:t>: </w:t>
      </w:r>
      <w:r>
        <w:rPr>
          <w:u w:val="single"/>
        </w:rPr>
        <w:t>niesłyszące, lekkie</w:t>
      </w:r>
    </w:p>
    <w:p>
      <w:pPr>
        <w:pStyle w:val="Reason-list"/>
      </w:pPr>
      <w:r>
        <w:t>niedostosowanie społeczne</w:t>
      </w:r>
    </w:p>
    <w:p>
      <w:pPr>
        <w:pStyle w:val="Reason-list"/>
      </w:pPr>
      <w:r>
        <w:t>zagrożenie niedostosowaniem społecznym.</w:t>
      </w:r>
    </w:p>
    <w:p>
      <w:pPr>
        <w:pStyle w:val="Section"/>
      </w:pPr>
      <w:r>
        <w:t>Diagnoza</w:t>
      </w:r>
    </w:p>
    <w:p>
      <w:pPr>
        <w:pStyle w:val="Section-desc"/>
      </w:pPr>
      <w:r>
        <w:t>Zespół Orzekający przedstawia diagnozę funkcjonowania dziecka lub ucznia, z uwzględnieniem potencjału rozwojowego oraz mocnych stron i uzdolnień dziecka lub ucznia oraz występujących w środowisku nauczania i wychowania barier i ograniczeń utrudniających jego funkcjonowanie: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diagnozy.</w:t>
      </w:r>
    </w:p>
    <w:p>
      <w:pPr>
        <w:pStyle w:val="Section"/>
      </w:pPr>
      <w:r>
        <w:t>Zalecenia</w:t>
      </w:r>
    </w:p>
    <w:p>
      <w:pPr>
        <w:pStyle w:val="Section-desc"/>
      </w:pPr>
      <w:r>
        <w:t>Zespół Orzekający zaleca:</w:t>
      </w:r>
    </w:p>
    <w:p>
      <w:pPr>
        <w:pStyle w:val="Recommend"/>
      </w:pPr>
      <w:r>
        <w:t>(należy określić zalecane warunki i formy wsparcia umożliwiające realizację indywidualnych potrzeb rozwojowych i edukacyjnych dziecka lub ucznia, w tym warunki rozwijania jego potencjalnych możliwości i mocnych stron, wzmacniania aktywności i uczestnictwa dziecka lub ucznia w życiu przedszkola, innej formy wychowania przedszkolnego, szkoły, ośrodka lub placówki, o których mowa w art. 2 pkt 7 i 8 ustawy z dnia 14 grudnia 2016 r. – Prawo oświatowe, oraz jeżeli zachodzi potrzeba indywidualnego wsparcia dziecka lub ucznia ze strony dodatkowo zatrudnionej kadry – zakres tego wsparcia,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Recommend"/>
      </w:pPr>
      <w:r>
        <w:t xml:space="preserve">(należy określić zalecane cele rozwojowe i terapeutyczne do realizacji podczas zajęć wychowania przedszkolnego lub zajęć edukacyjnych, zajęć rewalidacyjnych, socjoterapeutycznych i resocjalizacyjnych oraz w ramach pomocy psychologiczno-pedagogicznej udzielanej dziecku lub uczniowi i, w zależności od potrzeb, jego rodzicom, przez przedszkole, inną formę wychowania przedszkolnego, szkołę, ośrodek lub placówkę, o których mowa w art. 2 pkt 7 i 8 ustawy z dnia 14 grudnia 2016 r. – Prawo oświatowe, oraz poradnię, wraz ze wskazaniem zalecanych form pomocy psychologiczno-pedagogicznej, a </w:t>
      </w:r>
      <w:r>
        <w:lastRenderedPageBreak/>
        <w:t>w przypadku dzieci i uczniów niepełnosprawnych – również zalecanych rodzajów zajęć rewalidacyjnych,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Recommend"/>
      </w:pPr>
      <w:r>
        <w:t>(należy określić wszystkie możliwe formy kształcenia specjalnego, poczynając od najkorzystniejszej dla dziecka lub ucznia, według Zespołu Orzekającego, formy kształcenia specjalnego,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Recommend"/>
      </w:pPr>
      <w:r>
        <w:t>(należy określić potrzebę realizacji wybranych zajęć wychowania przedszkolnego lub zajęć edukacyjnych indywidualnie z dzieckiem lub uczniem lub w grupie liczącej do 5 dzieci lub uczniów – w przypadku dziecka lub ucznia napotykającego na trudności w funkcjonowaniu wspólnie z oddziałem przedszkolnym lub szkolnym,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Recommend"/>
      </w:pPr>
      <w:r>
        <w:t>(należy określić zalecane działania ukierunkowane na poprawę funkcjonowania dziecka lub ucznia i wzmacnianie jego uczestnictwa w życiu przedszkola, innej formy wychowania przedszkolnego, szkoły, ośrodka lub placówki, o których mowa w art. 2 pkt 7 i 8 ustawy z dnia 14 grudnia 2016 r. – Prawo oświatowe, oraz działania wspierające rodziców dziecka lub ucznia,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Recommend"/>
      </w:pPr>
      <w:r>
        <w:t>(należy określić, w zależności od potrzeb dziecka lub ucznia niepełnosprawnego, niezbędny w procesie kształcenia sprzęt specjalistyczny i środki dydaktyczne, w tym z wykorzystaniem technologii informacyjno-komunikacyjnych, wraz z uzasadnieniem</w:t>
      </w:r>
      <w:r>
        <w:rPr>
          <w:rStyle w:val="Odwoanieprzypisudolnego"/>
        </w:rPr>
        <w:footnoteReference w:id="6"/>
      </w:r>
      <w:r>
        <w:t>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Recommend"/>
      </w:pPr>
      <w:r>
        <w:t>(należy określić zalecane sposoby oceny efektów działań podjętych przez przedszkole, inną formę wychowania przedszkolnego, szkołę, ośrodek lub placówkę, o których mowa w art. 2 pkt 7 i 8 ustawy z dnia 14 grudnia 2016 r. – Prawo oświatowe, w celu realizacji zaleceń, o których mowa w pkt 1–6)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zaleceń</w:t>
      </w:r>
    </w:p>
    <w:p>
      <w:pPr>
        <w:pStyle w:val="Section"/>
      </w:pPr>
      <w:r>
        <w:t>Dodatkowe informacje</w:t>
      </w:r>
    </w:p>
    <w:p>
      <w:pPr>
        <w:pStyle w:val="Additional-info-desc"/>
      </w:pPr>
      <w:r>
        <w:t>(w zależności od potrzeb podaje się dodatkowe istotne informacje o dziecku lub uczniu, w szczególności o wspomagającej lub alternatywnej metodzie komunikacji (AAC), którą posługuje się dziecko lub uczeń)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Opis</w:t>
      </w:r>
    </w:p>
    <w:p>
      <w:pPr>
        <w:pStyle w:val="newdocumentreason"/>
      </w:pPr>
      <w:r>
        <w:t>W przypadku wydania nowego orzeczenia o potrzebie kształcenia specjalnego należy wskazać okoliczności, które Zespół Orzekający uznał za istotne dla rozstrzygnięcia, oraz wyjaśnić powody, na podstawie których stwierdzono potrzebę wydania nowego orzeczenia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7"/>
      </w:r>
      <w:r>
        <w:rPr>
          <w:rFonts w:ascii="Times New Roman" w:hAnsi="Times New Roman" w:cs="Times New Roman"/>
          <w:lang w:val="pl-PL"/>
        </w:rPr>
        <w:t>:</w:t>
      </w:r>
    </w:p>
    <w:p>
      <w:pPr>
        <w:pStyle w:val="repeal"/>
      </w:pPr>
      <w:r>
        <w:t>Orzeczenie uchyla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8"/>
      </w:r>
      <w:r>
        <w:rPr>
          <w:rFonts w:ascii="Times New Roman" w:hAnsi="Times New Roman" w:cs="Times New Roman"/>
          <w:lang w:val="pl-PL"/>
        </w:rPr>
        <w:t>:</w:t>
      </w:r>
    </w:p>
    <w:p>
      <w:pPr>
        <w:pStyle w:val="Revocation"/>
      </w:pPr>
      <w:r>
        <w:lastRenderedPageBreak/>
        <w:t>1) orzeczenie nr ............ o potrzebie kształcenia specjalnego z dnia ......................wydane przez ....................................................................</w:t>
      </w:r>
    </w:p>
    <w:p>
      <w:pPr>
        <w:pStyle w:val="Revocation"/>
      </w:pPr>
      <w:r>
        <w:t>2) orzeczenie nr .............. o potrzebie zajęć rewalidacyjno-wychowawczych zespołowych/</w:t>
      </w:r>
    </w:p>
    <w:p>
      <w:pPr>
        <w:pStyle w:val="Revocation"/>
      </w:pPr>
      <w:r>
        <w:t>indywidualnych</w:t>
      </w:r>
      <w:r>
        <w:rPr>
          <w:rStyle w:val="Odwoanieprzypisudolnego"/>
          <w:b w:val="0"/>
        </w:rPr>
        <w:footnoteReference w:id="9"/>
      </w:r>
      <w:r>
        <w:t xml:space="preserve"> z dnia ................................. wydane przez ........................................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Information"/>
      </w:pPr>
      <w:r>
        <w:t>Od niniejszego orzeczenia przysługuje odwołanie do Kuratora Oświaty w w Poznaniu, ul Kościuszki 38, 64-400 Poznań, za pośrednictwem Zespołu Orzekającego, który wydał orzeczenie, w terminie 14 dni od dnia jego doręczenia.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pStyle w:val="Subtitle1"/>
        <w:jc w:val="right"/>
      </w:pPr>
      <w:r>
        <w:t>(podpis Przewodniczącego Zespołu Orzekającego)</w:t>
      </w:r>
    </w:p>
    <w:p>
      <w:pPr>
        <w:rPr>
          <w:rFonts w:ascii="Times New Roman" w:hAnsi="Times New Roman" w:cs="Times New Roman"/>
          <w:b/>
          <w:lang w:val="pl-PL"/>
        </w:rPr>
      </w:pPr>
      <w:r>
        <w:rPr>
          <w:rFonts w:ascii="Times New Roman" w:hAnsi="Times New Roman" w:cs="Times New Roman"/>
          <w:b/>
          <w:lang w:val="pl-PL"/>
        </w:rPr>
        <w:t>Otrzymuje: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Wnioskodawca:</w:t>
      </w:r>
    </w:p>
    <w:p>
      <w:pPr>
        <w:pStyle w:val="Recivers-main"/>
      </w:pPr>
      <w:r>
        <w:t xml:space="preserve">Tomasz Rzeźniczak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Wielka 4/6 55-789 Studnia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Recivers-main"/>
      </w:pPr>
      <w:r>
        <w:t xml:space="preserve">Adelajda Słoneczko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Odnowy Stare, ul. Zamkowa 15/6a 15-671 Sadowisko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sectPr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"/>
      </w:pPr>
      <w:r>
        <w:rPr>
          <w:rStyle w:val="Odwoanieprzypisudolnego"/>
        </w:rPr>
        <w:footnoteRef/>
      </w:r>
      <w:r>
        <w:t xml:space="preserve"> Nazwę zawodu wpisuje się wyłącznie w przypadku ucznia uczęszczającego do szkoły prowadzącej kształcenie zawodowe.</w:t>
      </w:r>
    </w:p>
  </w:footnote>
  <w:footnote w:id="2">
    <w:p>
      <w:pPr>
        <w:pStyle w:val="Footnote"/>
      </w:pPr>
      <w:r>
        <w:rPr>
          <w:rStyle w:val="Odwoanieprzypisudolnego"/>
        </w:rPr>
        <w:footnoteRef/>
      </w:r>
      <w:r>
        <w:t xml:space="preserve"> Zgodnie z art. 4 pkt 19 ustawy z dnia 14 grudnia 2016 r. – Prawo oświatowe przez rodziców należy rozumieć także prawnych opiekunów dziecka oraz osoby (podmioty) sprawujące pieczę zastępczą nad dzieckiem.</w:t>
      </w:r>
    </w:p>
  </w:footnote>
  <w:footnote w:id="3">
    <w:p>
      <w:pPr>
        <w:pStyle w:val="Footnote"/>
      </w:pPr>
      <w:r>
        <w:rPr>
          <w:rStyle w:val="Odwoanieprzypisudolnego"/>
        </w:rPr>
        <w:footnoteRef/>
      </w:r>
      <w:r>
        <w:t xml:space="preserve"> Orzeczenie wydaje się na okres wychowania przedszkolnego, roku szkolnego albo etapu edukacyjnego. W przypadku ucznia szkoły ponadpodstawowej lub ponadgimnazjalnej termin ważności orzeczenia nie może przypadać później niż koniec roku szkolnego, w roku kalendarzowym, w którym uczeń kończy 24. rok życia.</w:t>
      </w:r>
    </w:p>
  </w:footnote>
  <w:footnote w:id="4">
    <w:p>
      <w:pPr>
        <w:pStyle w:val="Footnote"/>
      </w:pPr>
      <w:r>
        <w:rPr>
          <w:rStyle w:val="Odwoanieprzypisudolnego"/>
        </w:rPr>
        <w:footnoteRef/>
      </w:r>
      <w:r>
        <w:t xml:space="preserve"> Właściwe podkreślić; w przypadku gdy potrzeba kształcenia specjalnego wynika zarówno z występowania u ucznia niepełnosprawności, jak i niedostosowania społecznego albo zagrożenia niedostosowaniem społecznym, należy podkreślić występującą u ucznia niepełnosprawność lub niepełnosprawności (pkt 1 lit. a–j) oraz niedostosowanie społeczne (pkt 2) albo zagrożenie niedostosowaniem społecznym (pkt 3).</w:t>
      </w:r>
    </w:p>
  </w:footnote>
  <w:footnote w:id="5">
    <w:p>
      <w:pPr>
        <w:pStyle w:val="Footnote"/>
      </w:pPr>
      <w:r>
        <w:rPr>
          <w:rStyle w:val="Odwoanieprzypisudolnego"/>
        </w:rPr>
        <w:footnoteRef/>
      </w:r>
      <w:r>
        <w:t xml:space="preserve"> Wskazać współwystępujące niepełnosprawności, o których mowa w lit. a–i.</w:t>
      </w:r>
    </w:p>
  </w:footnote>
  <w:footnote w:id="6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przypadku dziecka lub ucznia niepełnosprawnego.</w:t>
      </w:r>
    </w:p>
  </w:footnote>
  <w:footnote w:id="7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przypadkach, o których mowa w § 18 ust. 1 rozporządzenia Ministra Edukacji Narodowej z dnia 7 września 2017 r. w sprawie orzeczeń i opinii wydawanych przez zespoły orzekające działające w publicznych poradniach psychologiczno-pedagogicznych (Dz. U. poz. 1743).</w:t>
      </w:r>
    </w:p>
  </w:footnote>
  <w:footnote w:id="8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przypadku wydania nowego orzeczenia o potrzebie kształcenia specjalnego.</w:t>
      </w:r>
    </w:p>
  </w:footnote>
  <w:footnote w:id="9">
    <w:p>
      <w:pPr>
        <w:pStyle w:val="Footnote"/>
      </w:pPr>
      <w:r>
        <w:rPr>
          <w:rStyle w:val="Odwoanieprzypisudolnego"/>
        </w:rPr>
        <w:footnoteRef/>
      </w:r>
      <w:r>
        <w:t xml:space="preserve"> Właściwe podkreślić.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  <w:style w:type="paragraph" w:customStyle="1" w:styleId="newdocumentreason">
    <w:name w:val="new_document_reason"/>
    <w:link w:val="newdocumentreasonZnak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repeal">
    <w:name w:val="repeal"/>
    <w:link w:val="repealZnak"/>
    <w:qFormat/>
    <w:pPr>
      <w:jc w:val="both"/>
    </w:pPr>
    <w:rPr>
      <w:rFonts w:ascii="Times New Roman" w:hAnsi="Times New Roman"/>
      <w:lang w:val="pl-PL"/>
    </w:rPr>
  </w:style>
  <w:style w:type="character" w:customStyle="1" w:styleId="newdocumentreasonZnak">
    <w:name w:val="new_document_reason Znak"/>
    <w:basedOn w:val="Domylnaczcionkaakapitu"/>
    <w:link w:val="newdocumentreason"/>
    <w:rPr>
      <w:rFonts w:ascii="Times New Roman" w:hAnsi="Times New Roman" w:cs="Times New Roman"/>
      <w:lang w:val="pl-PL"/>
    </w:rPr>
  </w:style>
  <w:style w:type="character" w:customStyle="1" w:styleId="repealZnak">
    <w:name w:val="repeal Znak"/>
    <w:basedOn w:val="Domylnaczcionkaakapitu"/>
    <w:link w:val="repeal"/>
    <w:rPr>
      <w:rFonts w:ascii="Times New Roman" w:hAnsi="Times New Roman"/>
      <w:lang w:val="pl-PL"/>
    </w:rPr>
  </w:style>
  <w:style w:type="paragraph" w:customStyle="1" w:styleId="centerAlignedTitleGreenColor">
    <w:name w:val="centerAlignedTitleGreenColor"/>
    <w:link w:val="centerAlignedTitleGreenColor"/>
    <w:qFormat/>
    <w:pPr>
      <w:jc w:val="center"/>
    </w:pPr>
    <w:rPr>
      <w:rFonts w:ascii="Times New Roman" w:hAnsi="Times New Roman" w:cs="Times New Roman"/>
      <w:lang w:val="pl-PL"/>
      <w:u w:val="single"/>
      <w:sz w:val="28"/>
      <w:b/>
      <w:color w:val="4f6228"/>
    </w:rPr>
  </w:style>
  <w:style w:type="paragraph" w:customStyle="1" w:styleId="numberOfProtocol">
    <w:name w:val="numberOfProtocol"/>
    <w:link w:val="numberOfProtocol"/>
    <w:qFormat/>
    <w:pPr>
      <w:jc w:val="center"/>
      <w:spacing w:after="0"/>
    </w:pPr>
    <w:rPr>
      <w:rFonts w:ascii="Times New Roman" w:hAnsi="Times New Roman" w:cs="Times New Roman"/>
      <w:lang w:val="pl-PL"/>
    </w:rPr>
  </w:style>
  <w:style w:type="paragraph" w:customStyle="1" w:styleId="inDay">
    <w:name w:val="inDay"/>
    <w:link w:val="inDay"/>
    <w:qFormat/>
    <w:pPr>
      <w:jc w:val="center"/>
      <w:spacing w:before="300"/>
      <w:spacing w:after="180"/>
    </w:pPr>
    <w:rPr>
      <w:rFonts w:ascii="Times New Roman" w:hAnsi="Times New Roman" w:cs="Times New Roman"/>
      <w:lang w:val="pl-PL"/>
    </w:rPr>
  </w:style>
  <w:style w:type="paragraph" w:customStyle="1" w:styleId="inCaseOf">
    <w:name w:val="inCaseOf"/>
    <w:link w:val="inCaseOf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chosenReasonLabel">
    <w:name w:val="chosenReasonLabel"/>
    <w:link w:val="chosenReasonLabel"/>
    <w:qFormat/>
    <w:pPr>
      <w:jc w:val="both"/>
      <w:spacing w:after="180"/>
    </w:pPr>
    <w:rPr>
      <w:rFonts w:ascii="Times New Roman" w:hAnsi="Times New Roman" w:cs="Times New Roman"/>
      <w:lang w:val="pl-PL"/>
      <w:sz w:val="22"/>
      <w:b/>
    </w:rPr>
  </w:style>
  <w:style w:type="paragraph" w:customStyle="1" w:styleId="chosenReason">
    <w:name w:val="chosenReason"/>
    <w:link w:val="chosenReason"/>
    <w:qFormat/>
    <w:pPr>
      <w:jc w:val="both"/>
      <w:spacing w:after="180"/>
    </w:pPr>
    <w:rPr>
      <w:rFonts w:ascii="Times New Roman" w:hAnsi="Times New Roman" w:cs="Times New Roman"/>
      <w:lang w:val="pl-PL"/>
      <w:b/>
      <w:sz w:val="22"/>
    </w:rPr>
  </w:style>
  <w:style w:type="paragraph" w:customStyle="1" w:styleId="forChildren">
    <w:name w:val="forChildren"/>
    <w:link w:val="forChildren"/>
    <w:qFormat/>
    <w:pPr>
      <w:jc w:val="both"/>
    </w:pPr>
    <w:rPr>
      <w:rFonts w:ascii="Times New Roman" w:hAnsi="Times New Roman" w:cs="Times New Roman"/>
      <w:lang w:val="pl-PL"/>
      <w:b/>
    </w:rPr>
  </w:style>
  <w:style w:type="paragraph" w:customStyle="1" w:styleId="childrenDetails">
    <w:name w:val="childrenDetails"/>
    <w:link w:val="childrenDetails"/>
    <w:qFormat/>
    <w:pPr>
      <w:jc w:val="both"/>
      <w:spacing w:before="180"/>
      <w:jc w:val="center"/>
    </w:pPr>
    <w:rPr>
      <w:rFonts w:ascii="Times New Roman" w:hAnsi="Times New Roman" w:cs="Times New Roman"/>
      <w:lang w:val="pl-PL"/>
      <w:b/>
    </w:rPr>
  </w:style>
  <w:style w:type="paragraph" w:customStyle="1" w:styleId="teamTitle">
    <w:name w:val="teamTitle"/>
    <w:link w:val="team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normalParagraph">
    <w:name w:val="normalParagraph"/>
    <w:link w:val="normalParagraph"/>
    <w:qFormat/>
    <w:pPr>
      <w:jc w:val="both"/>
    </w:pPr>
    <w:rPr>
      <w:rFonts w:ascii="Times New Roman" w:hAnsi="Times New Roman"/>
      <w:lang w:val="pl-PL"/>
      <w:sz w:val="24"/>
    </w:rPr>
  </w:style>
  <w:style w:type="paragraph" w:customStyle="1" w:styleId="teamMembers">
    <w:name w:val="teamMembers"/>
    <w:basedOn w:val="Akapitzlist"/>
    <w:link w:val="teamMembers"/>
    <w:qFormat/>
    <w:pPr>
      <w:numPr>
        <w:numId w:val="1"/>
      </w:numPr>
      <w:ind w:left="360"/>
      <w:jc w:val="both"/>
    </w:pPr>
    <w:rPr>
      <w:rFonts w:ascii="Times New Roman" w:hAnsi="Times New Roman" w:cs="Times New Roman"/>
      <w:sz w:val="22"/>
      <w:lang w:val="pl-PL"/>
    </w:rPr>
  </w:style>
  <w:style w:type="character" w:customStyle="1" w:styleId="applicant">
    <w:name w:val="applicant"/>
    <w:link w:val="applicant"/>
    <w:rPr>
      <w:rFonts w:ascii="Times New Roman" w:hAnsi="Times New Roman" w:cs="Times New Roman"/>
      <w:b/>
      <w:sz w:val="22"/>
      <w:lang w:val="pl-PL"/>
    </w:rPr>
  </w:style>
  <w:style w:type="paragraph" w:customStyle="1" w:styleId="boldTitle">
    <w:name w:val="boldTitle"/>
    <w:link w:val="bold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plane-text">
    <w:name w:val="plane-text"/>
    <w:basedOn w:val="Normalny"/>
    <w:link w:val="plane-textZnak"/>
    <w:qFormat/>
    <w:rsid w:val="00552664"/>
    <w:pPr>
      <w:widowControl w:val="0"/>
      <w:spacing w:after="0"/>
      <w:ind w:firstLine="720"/>
      <w:jc w:val="both"/>
    </w:pPr>
    <w:rPr>
      <w:rFonts w:ascii="Times New Roman" w:hAnsi="Times New Roman" w:cs="Times New Roman"/>
      <w:sz w:val="24"/>
      <w:lang w:val="pl-PL"/>
    </w:rPr>
  </w:style>
  <w:style w:type="character" w:customStyle="1" w:styleId="plane-textZnak">
    <w:name w:val="plane-text Znak"/>
    <w:basedOn w:val="Domylnaczcionkaakapitu"/>
    <w:link w:val="plane-text"/>
    <w:rsid w:val="00552664"/>
    <w:rPr>
      <w:rFonts w:ascii="Times New Roman" w:hAnsi="Times New Roman" w:cs="Times New Roman"/>
      <w:sz w:val="24"/>
      <w:lang w:val="pl-PL"/>
    </w:rPr>
  </w:style>
  <w:style w:type="paragraph" w:customStyle="1" w:styleId="sessionDescription">
    <w:name w:val="sessionDescription"/>
    <w:link w:val="sessionDescription"/>
    <w:qFormat/>
    <w:pPr>
      <w:jc w:val="both"/>
      <w:spacing w:before="180"/>
    </w:pPr>
    <w:rPr>
      <w:rFonts w:ascii="Times New Roman" w:hAnsi="Times New Roman" w:cs="Times New Roman"/>
      <w:lang w:val="pl-PL"/>
    </w:rPr>
  </w:style>
  <w:style w:type="paragraph" w:customStyle="1" w:styleId="boldText">
    <w:name w:val="boldText"/>
    <w:link w:val="boldText"/>
    <w:qFormat/>
    <w:pPr>
      <w:jc w:val="both"/>
    </w:pPr>
    <w:rPr>
      <w:rFonts w:ascii="Times New Roman" w:hAnsi="Times New Roman" w:cs="Times New Roman"/>
      <w:lang w:val="pl-P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