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B4BCB9" w14:textId="77777777" w:rsidR="00D239F3" w:rsidRPr="00D239F3" w:rsidRDefault="00D239F3" w:rsidP="00D239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239F3">
        <w:rPr>
          <w:rFonts w:ascii="Times New Roman" w:eastAsia="Times New Roman" w:hAnsi="Times New Roman" w:cs="Times New Roman"/>
          <w:b/>
          <w:bCs/>
          <w:sz w:val="27"/>
          <w:szCs w:val="27"/>
        </w:rPr>
        <w:t>Enterprise Architecture Ready – Designed for Scale, Security &amp; Longevity</w:t>
      </w:r>
    </w:p>
    <w:p w14:paraId="7EB8BC5A" w14:textId="77777777" w:rsidR="00D239F3" w:rsidRPr="00D239F3" w:rsidRDefault="00D239F3" w:rsidP="00D239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9F3">
        <w:rPr>
          <w:rFonts w:ascii="Times New Roman" w:eastAsia="Times New Roman" w:hAnsi="Times New Roman" w:cs="Times New Roman"/>
          <w:sz w:val="24"/>
          <w:szCs w:val="24"/>
        </w:rPr>
        <w:t xml:space="preserve">In large-scale software development, being “Enterprise Architecture Ready” means more than just writing functional code. It refers to a system’s ability to scale efficiently, remain secure, and support long-term growth within an organizational ecosystem. </w:t>
      </w:r>
      <w:proofErr w:type="spellStart"/>
      <w:r w:rsidRPr="00D239F3">
        <w:rPr>
          <w:rFonts w:ascii="Times New Roman" w:eastAsia="Times New Roman" w:hAnsi="Times New Roman" w:cs="Times New Roman"/>
          <w:sz w:val="24"/>
          <w:szCs w:val="24"/>
        </w:rPr>
        <w:t>CodeFusionX</w:t>
      </w:r>
      <w:proofErr w:type="spellEnd"/>
      <w:r w:rsidRPr="00D239F3">
        <w:rPr>
          <w:rFonts w:ascii="Times New Roman" w:eastAsia="Times New Roman" w:hAnsi="Times New Roman" w:cs="Times New Roman"/>
          <w:sz w:val="24"/>
          <w:szCs w:val="24"/>
        </w:rPr>
        <w:t xml:space="preserve"> is crafted with this in mind — integrating tools and patterns used by modern enterprises.</w:t>
      </w:r>
    </w:p>
    <w:p w14:paraId="101EBCEA" w14:textId="77777777" w:rsidR="00D239F3" w:rsidRPr="00D239F3" w:rsidRDefault="00D239F3" w:rsidP="00D239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9F3">
        <w:rPr>
          <w:rFonts w:ascii="Times New Roman" w:eastAsia="Times New Roman" w:hAnsi="Times New Roman" w:cs="Times New Roman"/>
          <w:sz w:val="24"/>
          <w:szCs w:val="24"/>
        </w:rPr>
        <w:t xml:space="preserve">From domain-driven design (DDD) to layered architecture, this stack supports modular and maintainable codebases. Technologies like </w:t>
      </w:r>
      <w:proofErr w:type="spellStart"/>
      <w:r w:rsidRPr="00D239F3">
        <w:rPr>
          <w:rFonts w:ascii="Times New Roman" w:eastAsia="Times New Roman" w:hAnsi="Times New Roman" w:cs="Times New Roman"/>
          <w:sz w:val="24"/>
          <w:szCs w:val="24"/>
        </w:rPr>
        <w:t>LoopBack</w:t>
      </w:r>
      <w:proofErr w:type="spellEnd"/>
      <w:r w:rsidRPr="00D239F3">
        <w:rPr>
          <w:rFonts w:ascii="Times New Roman" w:eastAsia="Times New Roman" w:hAnsi="Times New Roman" w:cs="Times New Roman"/>
          <w:sz w:val="24"/>
          <w:szCs w:val="24"/>
        </w:rPr>
        <w:t xml:space="preserve"> and Apigee enable scalable API-first designs, while </w:t>
      </w:r>
      <w:proofErr w:type="spellStart"/>
      <w:r w:rsidRPr="00D239F3">
        <w:rPr>
          <w:rFonts w:ascii="Times New Roman" w:eastAsia="Times New Roman" w:hAnsi="Times New Roman" w:cs="Times New Roman"/>
          <w:sz w:val="24"/>
          <w:szCs w:val="24"/>
        </w:rPr>
        <w:t>KendoReact</w:t>
      </w:r>
      <w:proofErr w:type="spellEnd"/>
      <w:r w:rsidRPr="00D239F3">
        <w:rPr>
          <w:rFonts w:ascii="Times New Roman" w:eastAsia="Times New Roman" w:hAnsi="Times New Roman" w:cs="Times New Roman"/>
          <w:sz w:val="24"/>
          <w:szCs w:val="24"/>
        </w:rPr>
        <w:t xml:space="preserve"> and Tailwind UI ensure a fast, responsive, and accessible frontend experience. Integration with WebStorm and education tools like Pluralsight ensures developers can maintain quality while scaling teams.</w:t>
      </w:r>
    </w:p>
    <w:p w14:paraId="064205FF" w14:textId="77777777" w:rsidR="00D239F3" w:rsidRPr="00D239F3" w:rsidRDefault="00D239F3" w:rsidP="00D239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9F3">
        <w:rPr>
          <w:rFonts w:ascii="Times New Roman" w:eastAsia="Times New Roman" w:hAnsi="Times New Roman" w:cs="Times New Roman"/>
          <w:sz w:val="24"/>
          <w:szCs w:val="24"/>
        </w:rPr>
        <w:t>Enterprise readiness also implies strong CI/CD pipelines, robust error tracking, audit logging, permission control, and test coverage — all of which are achievable with the tools in this stack. Whether deploying to AWS, GCP, or Azure, the setup supports secure DevOps workflows and containerization (Docker, Kubernetes).</w:t>
      </w:r>
    </w:p>
    <w:p w14:paraId="2DECC8D3" w14:textId="77777777" w:rsidR="00D239F3" w:rsidRPr="00D239F3" w:rsidRDefault="00D239F3" w:rsidP="00D239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9F3">
        <w:rPr>
          <w:rFonts w:ascii="Times New Roman" w:eastAsia="Times New Roman" w:hAnsi="Times New Roman" w:cs="Times New Roman"/>
          <w:sz w:val="24"/>
          <w:szCs w:val="24"/>
        </w:rPr>
        <w:t>From a compliance perspective, GDPR, HIPAA, and ISO 27001 best practices are easier to implement when building on technologies with built-in support for logging, encryption, and secure APIs.</w:t>
      </w:r>
    </w:p>
    <w:p w14:paraId="6FE1218A" w14:textId="77777777" w:rsidR="00D239F3" w:rsidRPr="00D239F3" w:rsidRDefault="00D239F3" w:rsidP="00D239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9F3">
        <w:rPr>
          <w:rFonts w:ascii="Times New Roman" w:eastAsia="Times New Roman" w:hAnsi="Times New Roman" w:cs="Times New Roman"/>
          <w:sz w:val="24"/>
          <w:szCs w:val="24"/>
        </w:rPr>
        <w:t>For organizations planning multi-year application lifespans, enterprise readiness ensures not just survival, but scalability and adaptability in a fast-evolving tech environment.</w:t>
      </w:r>
    </w:p>
    <w:p w14:paraId="6D65D696" w14:textId="77777777" w:rsidR="003A06CE" w:rsidRDefault="003A06CE"/>
    <w:sectPr w:rsidR="003A06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9F3"/>
    <w:rsid w:val="003A06CE"/>
    <w:rsid w:val="00D23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2B215"/>
  <w15:chartTrackingRefBased/>
  <w15:docId w15:val="{6983F527-0C53-40F3-B736-72194CAB4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239F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239F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D239F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239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90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228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2025-07-27T16:42:00Z</dcterms:created>
  <dcterms:modified xsi:type="dcterms:W3CDTF">2025-07-27T16:43:00Z</dcterms:modified>
</cp:coreProperties>
</file>