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1294" w:rsidRDefault="0037557C">
      <w:pPr>
        <w:pStyle w:val="Ttulo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Guia de Referência: APIs STAC e WTSS do INPE/</w:t>
      </w:r>
      <w:proofErr w:type="spellStart"/>
      <w:r>
        <w:rPr>
          <w:rFonts w:ascii="Google Sans" w:eastAsia="Google Sans" w:hAnsi="Google Sans" w:cs="Google Sans"/>
          <w:color w:val="1B1C1D"/>
        </w:rPr>
        <w:t>Brazil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Data Cube</w:t>
      </w:r>
    </w:p>
    <w:p w14:paraId="00000002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Este documento centraliza os recursos essenciais para entender e utilizar as duas principais APIs do projeto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Brazil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Data Cube (BDC) do INPE: a </w:t>
      </w:r>
      <w:r>
        <w:rPr>
          <w:rFonts w:ascii="Google Sans Text" w:eastAsia="Google Sans Text" w:hAnsi="Google Sans Text" w:cs="Google Sans Text"/>
          <w:b/>
          <w:color w:val="1B1C1D"/>
        </w:rPr>
        <w:t>STAC API</w:t>
      </w:r>
      <w:r>
        <w:rPr>
          <w:rFonts w:ascii="Google Sans Text" w:eastAsia="Google Sans Text" w:hAnsi="Google Sans Text" w:cs="Google Sans Text"/>
          <w:color w:val="1B1C1D"/>
        </w:rPr>
        <w:t xml:space="preserve"> e a </w:t>
      </w:r>
      <w:r>
        <w:rPr>
          <w:rFonts w:ascii="Google Sans Text" w:eastAsia="Google Sans Text" w:hAnsi="Google Sans Text" w:cs="Google Sans Text"/>
          <w:b/>
          <w:color w:val="1B1C1D"/>
        </w:rPr>
        <w:t>WTSS API</w:t>
      </w:r>
      <w:r>
        <w:rPr>
          <w:rFonts w:ascii="Google Sans Text" w:eastAsia="Google Sans Text" w:hAnsi="Google Sans Text" w:cs="Google Sans Text"/>
          <w:color w:val="1B1C1D"/>
        </w:rPr>
        <w:t>.</w:t>
      </w:r>
    </w:p>
    <w:p w14:paraId="00000003" w14:textId="77777777" w:rsidR="00251294" w:rsidRDefault="0037557C">
      <w:pPr>
        <w:pStyle w:val="Ttulo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 STAC API (</w:t>
      </w:r>
      <w:proofErr w:type="spellStart"/>
      <w:r>
        <w:rPr>
          <w:rFonts w:ascii="Google Sans" w:eastAsia="Google Sans" w:hAnsi="Google Sans" w:cs="Google Sans"/>
          <w:color w:val="1B1C1D"/>
        </w:rPr>
        <w:t>SpatioTemporal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</w:t>
      </w:r>
      <w:proofErr w:type="spellStart"/>
      <w:r>
        <w:rPr>
          <w:rFonts w:ascii="Google Sans" w:eastAsia="Google Sans" w:hAnsi="Google Sans" w:cs="Google Sans"/>
          <w:color w:val="1B1C1D"/>
        </w:rPr>
        <w:t>Asset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</w:t>
      </w:r>
      <w:proofErr w:type="spellStart"/>
      <w:r>
        <w:rPr>
          <w:rFonts w:ascii="Google Sans" w:eastAsia="Google Sans" w:hAnsi="Google Sans" w:cs="Google Sans"/>
          <w:color w:val="1B1C1D"/>
        </w:rPr>
        <w:t>Catalog</w:t>
      </w:r>
      <w:proofErr w:type="spellEnd"/>
      <w:r>
        <w:rPr>
          <w:rFonts w:ascii="Google Sans" w:eastAsia="Google Sans" w:hAnsi="Google Sans" w:cs="Google Sans"/>
          <w:color w:val="1B1C1D"/>
        </w:rPr>
        <w:t>)</w:t>
      </w:r>
    </w:p>
    <w:p w14:paraId="00000004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Finalidade:</w:t>
      </w:r>
      <w:r>
        <w:rPr>
          <w:rFonts w:ascii="Google Sans Text" w:eastAsia="Google Sans Text" w:hAnsi="Google Sans Text" w:cs="Google Sans Text"/>
          <w:color w:val="1B1C1D"/>
        </w:rPr>
        <w:t xml:space="preserve"> É o nosso "catálogo da biblioteca". Usamos esta API para </w:t>
      </w:r>
      <w:r>
        <w:rPr>
          <w:rFonts w:ascii="Google Sans Text" w:eastAsia="Google Sans Text" w:hAnsi="Google Sans Text" w:cs="Google Sans Text"/>
          <w:b/>
          <w:color w:val="1B1C1D"/>
        </w:rPr>
        <w:t>descobrir</w:t>
      </w:r>
      <w:r>
        <w:rPr>
          <w:rFonts w:ascii="Google Sans Text" w:eastAsia="Google Sans Text" w:hAnsi="Google Sans Text" w:cs="Google Sans Text"/>
          <w:color w:val="1B1C1D"/>
        </w:rPr>
        <w:t xml:space="preserve"> quais dados (imagens de satélite, produtos) existem para uma determinada área, período de tempo ou outras características. Ela não nos</w:t>
      </w:r>
      <w:r>
        <w:rPr>
          <w:rFonts w:ascii="Google Sans Text" w:eastAsia="Google Sans Text" w:hAnsi="Google Sans Text" w:cs="Google Sans Text"/>
          <w:color w:val="1B1C1D"/>
        </w:rPr>
        <w:t xml:space="preserve"> dá os dados brutos, mas sim os metadados (a "ficha catalográfica") de cada item.</w:t>
      </w:r>
    </w:p>
    <w:p w14:paraId="00000005" w14:textId="77777777" w:rsidR="00251294" w:rsidRDefault="0037557C">
      <w:pPr>
        <w:pStyle w:val="Ttulo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Recursos Oficiais</w:t>
      </w:r>
    </w:p>
    <w:p w14:paraId="00000006" w14:textId="77777777" w:rsidR="00251294" w:rsidRDefault="003755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Documentação Principal do BDC sobre STAC:</w:t>
      </w:r>
    </w:p>
    <w:p w14:paraId="00000007" w14:textId="77777777" w:rsidR="00251294" w:rsidRDefault="0037557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5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https://data.inpe.br/bdc/stac-spati</w:t>
        </w:r>
        <w:r>
          <w:rPr>
            <w:rFonts w:ascii="Google Sans Text" w:eastAsia="Google Sans Text" w:hAnsi="Google Sans Text" w:cs="Google Sans Text"/>
            <w:color w:val="0B57D0"/>
            <w:u w:val="single"/>
          </w:rPr>
          <w:t>otemporal-asset-catalog/</w:t>
        </w:r>
      </w:hyperlink>
    </w:p>
    <w:p w14:paraId="00000008" w14:textId="77777777" w:rsidR="00251294" w:rsidRDefault="003755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STAC Browser (Explorador Visual):</w:t>
      </w:r>
      <w:r>
        <w:rPr>
          <w:rFonts w:ascii="Google Sans Text" w:eastAsia="Google Sans Text" w:hAnsi="Google Sans Text" w:cs="Google Sans Text"/>
          <w:color w:val="1B1C1D"/>
        </w:rPr>
        <w:t xml:space="preserve"> Ferramenta web para navegar visualmente pelo catálogo. Essencial para entender a hierarquia dos dados.</w:t>
      </w:r>
    </w:p>
    <w:p w14:paraId="00000009" w14:textId="77777777" w:rsidR="00251294" w:rsidRDefault="0037557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6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https://data.inpe.br/stac/browser/</w:t>
        </w:r>
      </w:hyperlink>
    </w:p>
    <w:p w14:paraId="0000000A" w14:textId="77777777" w:rsidR="00251294" w:rsidRDefault="003755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Ponto de Entrada da API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Endpoint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Principal):</w:t>
      </w:r>
    </w:p>
    <w:p w14:paraId="0000000B" w14:textId="77777777" w:rsidR="00251294" w:rsidRDefault="0037557C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https://data.inpe.br/bdc/stac/v1/</w:t>
      </w:r>
    </w:p>
    <w:p w14:paraId="0000000C" w14:textId="77777777" w:rsidR="00251294" w:rsidRDefault="0037557C">
      <w:pPr>
        <w:pStyle w:val="Ttulo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Vídeos e Tutoriais</w:t>
      </w:r>
    </w:p>
    <w:p w14:paraId="0000000D" w14:textId="77777777" w:rsidR="00251294" w:rsidRDefault="0037557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[Vídeo] Minicurso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WorCAP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2021 - Introdução ao STAC e WTSS:</w:t>
      </w:r>
    </w:p>
    <w:p w14:paraId="0000000E" w14:textId="39EB8AC3" w:rsidR="00251294" w:rsidRDefault="0037557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[Vídeo]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Brazil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Data Cube: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Geoinformática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e Aplicações de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Machine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Learning: </w:t>
      </w:r>
      <w:bookmarkStart w:id="0" w:name="_GoBack"/>
      <w:bookmarkEnd w:id="0"/>
      <w:r>
        <w:rPr>
          <w:rFonts w:ascii="Google Sans" w:eastAsia="Google Sans" w:hAnsi="Google Sans" w:cs="Google Sans"/>
          <w:color w:val="1B1C1D"/>
        </w:rPr>
        <w:t>Exemplos de Dados Vivos (JSON)</w:t>
      </w:r>
    </w:p>
    <w:p w14:paraId="0000000F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Clique nos links abaixo para ver a resposta real da API no seu navegador.</w:t>
      </w:r>
    </w:p>
    <w:p w14:paraId="00000010" w14:textId="77777777" w:rsidR="00251294" w:rsidRDefault="0037557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Ver Todas as Coleções Disponíveis:</w:t>
      </w:r>
    </w:p>
    <w:p w14:paraId="00000011" w14:textId="77777777" w:rsidR="00251294" w:rsidRDefault="0037557C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Retorna a lista de todos os satélites e produtos catalogados no BDC.</w:t>
      </w:r>
    </w:p>
    <w:p w14:paraId="00000012" w14:textId="77777777" w:rsidR="00251294" w:rsidRDefault="0037557C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7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https://data.inpe.br/bdc/stac/v1/collections</w:t>
        </w:r>
      </w:hyperlink>
    </w:p>
    <w:p w14:paraId="00000013" w14:textId="77777777" w:rsidR="00251294" w:rsidRDefault="0037557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Ver Detalhes de uma Coleção Específica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Landsat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</w:p>
    <w:p w14:paraId="00000014" w14:textId="77777777" w:rsidR="00251294" w:rsidRDefault="0037557C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Retorna os metadados gerais da coleção LANDSAT-16D-1.</w:t>
      </w:r>
    </w:p>
    <w:p w14:paraId="00000015" w14:textId="77777777" w:rsidR="00251294" w:rsidRDefault="0037557C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8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https://data.inpe.br/bdc/stac/v1/collections/LANDSAT-16D-1</w:t>
        </w:r>
      </w:hyperlink>
    </w:p>
    <w:p w14:paraId="00000016" w14:textId="77777777" w:rsidR="00251294" w:rsidRDefault="0037557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Ver Detalhes de um Item Específico (uma imagem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Landsat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</w:p>
    <w:p w14:paraId="00000017" w14:textId="77777777" w:rsidR="00251294" w:rsidRDefault="0037557C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Metadado completo de uma única cena de satélite.</w:t>
      </w:r>
    </w:p>
    <w:p w14:paraId="00000018" w14:textId="77777777" w:rsidR="00251294" w:rsidRDefault="0037557C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hyperlink r:id="rId9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https://data.inpe.br/bdc/stac/v1/collections/LANDSAT-16D-1/items/LANDSAT-16D_V1_014009_20250728</w:t>
        </w:r>
      </w:hyperlink>
    </w:p>
    <w:p w14:paraId="00000019" w14:textId="77777777" w:rsidR="00251294" w:rsidRDefault="0037557C">
      <w:pPr>
        <w:pStyle w:val="Ttulo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lastRenderedPageBreak/>
        <w:t>Tipos de Dados Retornados por um Item STAC</w:t>
      </w:r>
    </w:p>
    <w:p w14:paraId="0000001A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Quan</w:t>
      </w:r>
      <w:r>
        <w:rPr>
          <w:rFonts w:ascii="Google Sans Text" w:eastAsia="Google Sans Text" w:hAnsi="Google Sans Text" w:cs="Google Sans Text"/>
          <w:color w:val="1B1C1D"/>
        </w:rPr>
        <w:t>do buscamos os detalhes de um Item, a resposta contém um objeto chamado "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assets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". Este objeto é um dicionário que lista todos os arquivos de dados e informações associados àquela cena de satélite. Cada "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asset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" contém um link direto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href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para o arquivo.</w:t>
      </w:r>
    </w:p>
    <w:p w14:paraId="0000001B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U</w:t>
      </w:r>
      <w:r>
        <w:rPr>
          <w:rFonts w:ascii="Google Sans Text" w:eastAsia="Google Sans Text" w:hAnsi="Google Sans Text" w:cs="Google Sans Text"/>
          <w:color w:val="1B1C1D"/>
        </w:rPr>
        <w:t xml:space="preserve">sando o Item do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Landsat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como exemplo, estes são os tipos de dados que podemos extrair:</w:t>
      </w:r>
    </w:p>
    <w:p w14:paraId="0000001C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Dados de Índices de Vegetação (Arquivos .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tif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</w:p>
    <w:p w14:paraId="0000001D" w14:textId="77777777" w:rsidR="00251294" w:rsidRDefault="0037557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NDVI</w:t>
      </w:r>
      <w:r>
        <w:rPr>
          <w:rFonts w:ascii="Google Sans Text" w:eastAsia="Google Sans Text" w:hAnsi="Google Sans Text" w:cs="Google Sans Text"/>
          <w:color w:val="1B1C1D"/>
        </w:rPr>
        <w:t>: (Índice de Vegetação por Diferença Normalizada) - O índice mais comum para medir a saúde e densidade da vegetação.</w:t>
      </w:r>
    </w:p>
    <w:p w14:paraId="0000001E" w14:textId="77777777" w:rsidR="00251294" w:rsidRDefault="0037557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EVI</w:t>
      </w:r>
      <w:r>
        <w:rPr>
          <w:rFonts w:ascii="Google Sans Text" w:eastAsia="Google Sans Text" w:hAnsi="Google Sans Text" w:cs="Google Sans Text"/>
          <w:color w:val="1B1C1D"/>
        </w:rPr>
        <w:t>: (Índice de Vegetação Melhorado) - Uma versão otimizada do NDVI, menos sensível a efeitos atmosféricos.</w:t>
      </w:r>
    </w:p>
    <w:p w14:paraId="0000001F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Dados de Bandas Espectrais (Arquivos .</w:t>
      </w:r>
      <w:proofErr w:type="spellStart"/>
      <w:r>
        <w:rPr>
          <w:rFonts w:ascii="Google Sans Text" w:eastAsia="Google Sans Text" w:hAnsi="Google Sans Text" w:cs="Google Sans Text"/>
        </w:rPr>
        <w:t>tif</w:t>
      </w:r>
      <w:proofErr w:type="spellEnd"/>
      <w:r>
        <w:rPr>
          <w:rFonts w:ascii="Google Sans Text" w:eastAsia="Google Sans Text" w:hAnsi="Google Sans Text" w:cs="Google Sans Text"/>
        </w:rPr>
        <w:t>):</w:t>
      </w:r>
    </w:p>
    <w:p w14:paraId="00000020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Estas são as "cores" que </w:t>
      </w:r>
      <w:proofErr w:type="gramStart"/>
      <w:r>
        <w:rPr>
          <w:rFonts w:ascii="Google Sans Text" w:eastAsia="Google Sans Text" w:hAnsi="Google Sans Text" w:cs="Google Sans Text"/>
        </w:rPr>
        <w:t>o satélite enxerga</w:t>
      </w:r>
      <w:proofErr w:type="gramEnd"/>
      <w:r>
        <w:rPr>
          <w:rFonts w:ascii="Google Sans Text" w:eastAsia="Google Sans Text" w:hAnsi="Google Sans Text" w:cs="Google Sans Text"/>
        </w:rPr>
        <w:t>, incluindo as que não são visíveis ao olho humano.</w:t>
      </w:r>
    </w:p>
    <w:p w14:paraId="00000021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red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Banda do espectro vermelho.</w:t>
      </w:r>
    </w:p>
    <w:p w14:paraId="00000022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green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Banda do espectro verde.</w:t>
      </w:r>
    </w:p>
    <w:p w14:paraId="00000023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blue</w:t>
      </w:r>
      <w:r>
        <w:rPr>
          <w:rFonts w:ascii="Google Sans Text" w:eastAsia="Google Sans Text" w:hAnsi="Google Sans Text" w:cs="Google Sans Text"/>
          <w:color w:val="1B1C1D"/>
        </w:rPr>
        <w:t>: Banda do espectro azul.</w:t>
      </w:r>
    </w:p>
    <w:p w14:paraId="00000024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coastal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Banda costeira/aerossol, útil para estudos de água.</w:t>
      </w:r>
    </w:p>
    <w:p w14:paraId="00000025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nir08</w:t>
      </w:r>
      <w:r>
        <w:rPr>
          <w:rFonts w:ascii="Google Sans Text" w:eastAsia="Google Sans Text" w:hAnsi="Google Sans Text" w:cs="Google Sans Text"/>
          <w:color w:val="1B1C1D"/>
        </w:rPr>
        <w:t>: Banda do infravermelho próximo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Near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Infrared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</w:t>
      </w:r>
    </w:p>
    <w:p w14:paraId="00000026" w14:textId="77777777" w:rsidR="00251294" w:rsidRDefault="0037557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swir16</w:t>
      </w:r>
      <w:r>
        <w:rPr>
          <w:rFonts w:ascii="Google Sans Text" w:eastAsia="Google Sans Text" w:hAnsi="Google Sans Text" w:cs="Google Sans Text"/>
          <w:color w:val="1B1C1D"/>
        </w:rPr>
        <w:t xml:space="preserve"> e </w:t>
      </w:r>
      <w:r>
        <w:rPr>
          <w:rFonts w:ascii="Google Sans Text" w:eastAsia="Google Sans Text" w:hAnsi="Google Sans Text" w:cs="Google Sans Text"/>
          <w:b/>
          <w:color w:val="1B1C1D"/>
        </w:rPr>
        <w:t>swir22</w:t>
      </w:r>
      <w:r>
        <w:rPr>
          <w:rFonts w:ascii="Google Sans Text" w:eastAsia="Google Sans Text" w:hAnsi="Google Sans Text" w:cs="Google Sans Text"/>
          <w:color w:val="1B1C1D"/>
        </w:rPr>
        <w:t>: Bandas do infravermelho de ondas curtas (Short-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wave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Infrared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sensíveis à umidade.</w:t>
      </w:r>
    </w:p>
    <w:p w14:paraId="00000027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Dados de Qualidade e Metadados (Arquivos .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tif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</w:p>
    <w:p w14:paraId="00000028" w14:textId="77777777" w:rsidR="00251294" w:rsidRDefault="0037557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qa_pixel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Quality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Assessment) Banda de qualidade do pixel, que indica a presença de nuvens, sombra de nuvens, água, etc. Essencial para filtrar dados ruins.</w:t>
      </w:r>
    </w:p>
    <w:p w14:paraId="00000029" w14:textId="77777777" w:rsidR="00251294" w:rsidRDefault="0037557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CLEAROB</w:t>
      </w:r>
      <w:r>
        <w:rPr>
          <w:rFonts w:ascii="Google Sans Text" w:eastAsia="Google Sans Text" w:hAnsi="Google Sans Text" w:cs="Google Sans Text"/>
          <w:color w:val="1B1C1D"/>
        </w:rPr>
        <w:t>: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Clear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Observation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Contagem de observações sem nuvens.</w:t>
      </w:r>
    </w:p>
    <w:p w14:paraId="0000002A" w14:textId="77777777" w:rsidR="00251294" w:rsidRDefault="0037557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TOTALOB</w:t>
      </w:r>
      <w:r>
        <w:rPr>
          <w:rFonts w:ascii="Google Sans Text" w:eastAsia="Google Sans Text" w:hAnsi="Google Sans Text" w:cs="Google Sans Text"/>
          <w:color w:val="1B1C1D"/>
        </w:rPr>
        <w:t xml:space="preserve">: (Total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Observation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Contagem tot</w:t>
      </w:r>
      <w:r>
        <w:rPr>
          <w:rFonts w:ascii="Google Sans Text" w:eastAsia="Google Sans Text" w:hAnsi="Google Sans Text" w:cs="Google Sans Text"/>
          <w:color w:val="1B1C1D"/>
        </w:rPr>
        <w:t>al de observações.</w:t>
      </w:r>
    </w:p>
    <w:p w14:paraId="0000002B" w14:textId="77777777" w:rsidR="00251294" w:rsidRDefault="0037557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DATASOURCE</w:t>
      </w:r>
      <w:r>
        <w:rPr>
          <w:rFonts w:ascii="Google Sans Text" w:eastAsia="Google Sans Text" w:hAnsi="Google Sans Text" w:cs="Google Sans Text"/>
          <w:color w:val="1B1C1D"/>
        </w:rPr>
        <w:t>: Indica de qual satélite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ex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: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Landsat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8 ou 9) veio o pixel.</w:t>
      </w:r>
    </w:p>
    <w:p w14:paraId="0000002C" w14:textId="77777777" w:rsidR="00251294" w:rsidRDefault="0037557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PROVENANCE</w:t>
      </w:r>
      <w:r>
        <w:rPr>
          <w:rFonts w:ascii="Google Sans Text" w:eastAsia="Google Sans Text" w:hAnsi="Google Sans Text" w:cs="Google Sans Text"/>
          <w:color w:val="1B1C1D"/>
        </w:rPr>
        <w:t>: Indica de qual dia do ano a observação foi selecionada.</w:t>
      </w:r>
    </w:p>
    <w:p w14:paraId="0000002D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Imagens de Pré-visualização:</w:t>
      </w:r>
    </w:p>
    <w:p w14:paraId="0000002E" w14:textId="77777777" w:rsidR="00251294" w:rsidRDefault="0037557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thumbnail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: Uma imagem de baixa resolução em formato </w:t>
      </w:r>
      <w:r>
        <w:rPr>
          <w:rFonts w:ascii="Google Sans Text" w:eastAsia="Google Sans Text" w:hAnsi="Google Sans Text" w:cs="Google Sans Text"/>
          <w:b/>
          <w:color w:val="1B1C1D"/>
        </w:rPr>
        <w:t>.png</w:t>
      </w:r>
      <w:r>
        <w:rPr>
          <w:rFonts w:ascii="Google Sans Text" w:eastAsia="Google Sans Text" w:hAnsi="Google Sans Text" w:cs="Google Sans Text"/>
          <w:color w:val="1B1C1D"/>
        </w:rPr>
        <w:t>, ideal para exibição rápida na interface, como já fazemos em nosso projeto.</w:t>
      </w:r>
    </w:p>
    <w:p w14:paraId="0000002F" w14:textId="77777777" w:rsidR="00251294" w:rsidRDefault="0037557C">
      <w:pPr>
        <w:pStyle w:val="Ttulo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 WTSS API (Web Time Series Service)</w:t>
      </w:r>
    </w:p>
    <w:p w14:paraId="00000030" w14:textId="77777777" w:rsidR="00251294" w:rsidRDefault="003755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Finalidade:</w:t>
      </w:r>
      <w:r>
        <w:rPr>
          <w:rFonts w:ascii="Google Sans Text" w:eastAsia="Google Sans Text" w:hAnsi="Google Sans Text" w:cs="Google Sans Text"/>
          <w:color w:val="1B1C1D"/>
        </w:rPr>
        <w:t xml:space="preserve"> É a nossa ferramenta de "extração". Uma vez que descobrimos um produto de interesse com o STAC, usamos o WTSS para extrair a </w:t>
      </w:r>
      <w:r>
        <w:rPr>
          <w:rFonts w:ascii="Google Sans Text" w:eastAsia="Google Sans Text" w:hAnsi="Google Sans Text" w:cs="Google Sans Text"/>
          <w:b/>
          <w:color w:val="1B1C1D"/>
        </w:rPr>
        <w:t>séri</w:t>
      </w:r>
      <w:r>
        <w:rPr>
          <w:rFonts w:ascii="Google Sans Text" w:eastAsia="Google Sans Text" w:hAnsi="Google Sans Text" w:cs="Google Sans Text"/>
          <w:b/>
          <w:color w:val="1B1C1D"/>
        </w:rPr>
        <w:t>e temporal</w:t>
      </w:r>
      <w:r>
        <w:rPr>
          <w:rFonts w:ascii="Google Sans Text" w:eastAsia="Google Sans Text" w:hAnsi="Google Sans Text" w:cs="Google Sans Text"/>
          <w:color w:val="1B1C1D"/>
        </w:rPr>
        <w:t xml:space="preserve"> de dados para um pixel específico (um ponto no mapa).</w:t>
      </w:r>
    </w:p>
    <w:p w14:paraId="00000031" w14:textId="77777777" w:rsidR="00251294" w:rsidRDefault="0037557C">
      <w:pPr>
        <w:pStyle w:val="Ttulo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lastRenderedPageBreak/>
        <w:t>Recursos Oficiais</w:t>
      </w:r>
    </w:p>
    <w:p w14:paraId="00000032" w14:textId="77777777" w:rsidR="00251294" w:rsidRDefault="0037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Documentação Principal do BDC sobre WTSS:</w:t>
      </w:r>
    </w:p>
    <w:p w14:paraId="00000033" w14:textId="77777777" w:rsidR="00251294" w:rsidRDefault="003755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10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https://data.inpe.br/bdc/wtss-web-time-series-service/</w:t>
        </w:r>
      </w:hyperlink>
    </w:p>
    <w:p w14:paraId="00000034" w14:textId="77777777" w:rsidR="00251294" w:rsidRDefault="0037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Documentação Técnica da API (Swagger):</w:t>
      </w:r>
    </w:p>
    <w:p w14:paraId="00000035" w14:textId="77777777" w:rsidR="00251294" w:rsidRDefault="0037557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Detalha todos os parâmetros e a estrutura exata das chamadas.</w:t>
      </w:r>
    </w:p>
    <w:p w14:paraId="00000036" w14:textId="77777777" w:rsidR="00251294" w:rsidRDefault="0037557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11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https://data.inpe.br/bdc/wtss/v4/docs</w:t>
        </w:r>
      </w:hyperlink>
    </w:p>
    <w:p w14:paraId="00000037" w14:textId="77777777" w:rsidR="00251294" w:rsidRDefault="0037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Ponto de Entrada da API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Endpoint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de Produção Estável):</w:t>
      </w:r>
    </w:p>
    <w:p w14:paraId="00000038" w14:textId="77777777" w:rsidR="00251294" w:rsidRDefault="003755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https://brazildatacube.dpi.inpe.br/wtss</w:t>
      </w:r>
    </w:p>
    <w:p w14:paraId="00000039" w14:textId="77777777" w:rsidR="00251294" w:rsidRDefault="0037557C">
      <w:pPr>
        <w:pStyle w:val="Ttulo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Vídeos e Tutoriais</w:t>
      </w:r>
    </w:p>
    <w:p w14:paraId="0000003A" w14:textId="77777777" w:rsidR="00251294" w:rsidRDefault="00375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Os mesmos vídeos da seção STAC são altamente recomendados.</w:t>
      </w:r>
    </w:p>
    <w:p w14:paraId="0000003B" w14:textId="381FE045" w:rsidR="00251294" w:rsidRDefault="0037557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[Vídeo] Minicurso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WorCAP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2021 - Introdução ao STAC e WTSS</w:t>
      </w:r>
    </w:p>
    <w:p w14:paraId="0000003C" w14:textId="77777777" w:rsidR="00251294" w:rsidRDefault="0037557C">
      <w:pPr>
        <w:pStyle w:val="Ttulo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Exemplos de Dados Vivos (JSON)</w:t>
      </w:r>
    </w:p>
    <w:p w14:paraId="0000003D" w14:textId="77777777" w:rsidR="00251294" w:rsidRDefault="003755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Listar Todos os "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Coverages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" Disponíveis:</w:t>
      </w:r>
    </w:p>
    <w:p w14:paraId="0000003E" w14:textId="77777777" w:rsidR="00251294" w:rsidRDefault="0037557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12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https://brazildatacube.dpi.inpe.br/wtss/list_coverages</w:t>
        </w:r>
      </w:hyperlink>
    </w:p>
    <w:p w14:paraId="0000003F" w14:textId="77777777" w:rsidR="00251294" w:rsidRDefault="003755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Descrever um "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Coverage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" Específico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Landsat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</w:p>
    <w:p w14:paraId="00000040" w14:textId="77777777" w:rsidR="00251294" w:rsidRDefault="0037557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hyperlink r:id="rId13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https://brazildatacube.dpi.inpe.br/wtss/describe_coverage?coverage=LANDSAT-16D-1</w:t>
        </w:r>
      </w:hyperlink>
    </w:p>
    <w:p w14:paraId="00000041" w14:textId="77777777" w:rsidR="00251294" w:rsidRDefault="003755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Extrair uma Série Temporal (Exemplo Completo):</w:t>
      </w:r>
    </w:p>
    <w:p w14:paraId="00000042" w14:textId="77777777" w:rsidR="00251294" w:rsidRDefault="0037557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Retorna a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timeline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(datas) e os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values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(valores de NDVI) para um ponto específico.</w:t>
      </w:r>
    </w:p>
    <w:p w14:paraId="00000043" w14:textId="77777777" w:rsidR="00251294" w:rsidRDefault="0037557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hyperlink r:id="rId14">
        <w:r>
          <w:rPr>
            <w:rFonts w:ascii="Google Sans Text" w:eastAsia="Google Sans Text" w:hAnsi="Google Sans Text" w:cs="Google Sans Text"/>
            <w:color w:val="0B57D0"/>
            <w:u w:val="single"/>
          </w:rPr>
          <w:t>https://brazildatacube.dpi.inpe.br/wtss?coverage=LANDSAT-16D-1&amp;attributes=NDVI&amp;latitude=-12.54&amp;longitude=-55.71</w:t>
        </w:r>
      </w:hyperlink>
    </w:p>
    <w:sectPr w:rsidR="002512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FD4"/>
    <w:multiLevelType w:val="multilevel"/>
    <w:tmpl w:val="834A1F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97B6A84"/>
    <w:multiLevelType w:val="multilevel"/>
    <w:tmpl w:val="15EEB1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5FC2411"/>
    <w:multiLevelType w:val="multilevel"/>
    <w:tmpl w:val="D5EC80A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CE3740"/>
    <w:multiLevelType w:val="multilevel"/>
    <w:tmpl w:val="C5D87D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E25511"/>
    <w:multiLevelType w:val="multilevel"/>
    <w:tmpl w:val="817C0C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B27A3E"/>
    <w:multiLevelType w:val="multilevel"/>
    <w:tmpl w:val="D26AE1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AB60EB9"/>
    <w:multiLevelType w:val="multilevel"/>
    <w:tmpl w:val="0A9C40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C3863B3"/>
    <w:multiLevelType w:val="multilevel"/>
    <w:tmpl w:val="24CCF3A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C4D0924"/>
    <w:multiLevelType w:val="multilevel"/>
    <w:tmpl w:val="C75C89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06E7DBF"/>
    <w:multiLevelType w:val="multilevel"/>
    <w:tmpl w:val="B170AB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2F857DE"/>
    <w:multiLevelType w:val="multilevel"/>
    <w:tmpl w:val="6F1625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9A20FB2"/>
    <w:multiLevelType w:val="multilevel"/>
    <w:tmpl w:val="AB2A06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C384209"/>
    <w:multiLevelType w:val="multilevel"/>
    <w:tmpl w:val="080631A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DC71130"/>
    <w:multiLevelType w:val="multilevel"/>
    <w:tmpl w:val="49745C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FA5271D"/>
    <w:multiLevelType w:val="multilevel"/>
    <w:tmpl w:val="8812BD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5851B50"/>
    <w:multiLevelType w:val="multilevel"/>
    <w:tmpl w:val="E87444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85E522E"/>
    <w:multiLevelType w:val="multilevel"/>
    <w:tmpl w:val="ECA294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EA35BF3"/>
    <w:multiLevelType w:val="multilevel"/>
    <w:tmpl w:val="9760BF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0991552"/>
    <w:multiLevelType w:val="multilevel"/>
    <w:tmpl w:val="271012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2E4039C"/>
    <w:multiLevelType w:val="multilevel"/>
    <w:tmpl w:val="3EEAF25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F5F681D"/>
    <w:multiLevelType w:val="multilevel"/>
    <w:tmpl w:val="FE26A63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71DB3210"/>
    <w:multiLevelType w:val="multilevel"/>
    <w:tmpl w:val="94E0F3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B52BF4"/>
    <w:multiLevelType w:val="multilevel"/>
    <w:tmpl w:val="BC688C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3"/>
  </w:num>
  <w:num w:numId="5">
    <w:abstractNumId w:val="18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20"/>
  </w:num>
  <w:num w:numId="11">
    <w:abstractNumId w:val="19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7"/>
  </w:num>
  <w:num w:numId="17">
    <w:abstractNumId w:val="21"/>
  </w:num>
  <w:num w:numId="18">
    <w:abstractNumId w:val="9"/>
  </w:num>
  <w:num w:numId="19">
    <w:abstractNumId w:val="2"/>
  </w:num>
  <w:num w:numId="20">
    <w:abstractNumId w:val="22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294"/>
    <w:rsid w:val="00251294"/>
    <w:rsid w:val="0037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B85"/>
  <w15:docId w15:val="{80E85522-2F4E-4FA5-B360-6B8B3E83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inpe.br/bdc/stac/v1/collections/LANDSAT-16D-1" TargetMode="External"/><Relationship Id="rId13" Type="http://schemas.openxmlformats.org/officeDocument/2006/relationships/hyperlink" Target="https://www.google.com/search?q=https://brazildatacube.dpi.inpe.br/wtss/describe_coverage?coverage%3DLANDSAT-16D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inpe.br/bdc/stac/v1/collections" TargetMode="External"/><Relationship Id="rId12" Type="http://schemas.openxmlformats.org/officeDocument/2006/relationships/hyperlink" Target="https://www.google.com/search?q=https://brazildatacube.dpi.inpe.br/wtss/list_coverag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inpe.br/stac/browser/" TargetMode="External"/><Relationship Id="rId11" Type="http://schemas.openxmlformats.org/officeDocument/2006/relationships/hyperlink" Target="https://www.google.com/search?q=https://data.inpe.br/bdc/wtss/v4/docs" TargetMode="External"/><Relationship Id="rId5" Type="http://schemas.openxmlformats.org/officeDocument/2006/relationships/hyperlink" Target="https://data.inpe.br/bdc/stac-spatiotemporal-asset-catalo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inpe.br/bdc/wtss-web-time-series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inpe.br/bdc/stac/v1/collections/LANDSAT-16D-1/items/LANDSAT-16D_V1_014009_20250728" TargetMode="External"/><Relationship Id="rId14" Type="http://schemas.openxmlformats.org/officeDocument/2006/relationships/hyperlink" Target="https://www.google.com/search?q=https://brazildatacube.dpi.inpe.br/wtss?coverage%3DLANDSAT-16D-1%26attributes%3DNDVI%26latitude%3D-12.54%26longitude%3D-55.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fatec258</cp:lastModifiedBy>
  <cp:revision>2</cp:revision>
  <dcterms:created xsi:type="dcterms:W3CDTF">2025-09-18T23:57:00Z</dcterms:created>
  <dcterms:modified xsi:type="dcterms:W3CDTF">2025-09-18T23:57:00Z</dcterms:modified>
</cp:coreProperties>
</file>