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EB5A9" w14:textId="0D52282B" w:rsidR="00AE31CA" w:rsidRPr="0039146F" w:rsidRDefault="00AE31CA">
      <w:pPr>
        <w:rPr>
          <w:b/>
          <w:bCs/>
        </w:rPr>
      </w:pPr>
      <w:r w:rsidRPr="0039146F">
        <w:rPr>
          <w:b/>
          <w:bCs/>
        </w:rPr>
        <w:t>Übung 5.3 Doku</w:t>
      </w:r>
    </w:p>
    <w:p w14:paraId="3C16BA91" w14:textId="56895FDB" w:rsidR="00AE31CA" w:rsidRDefault="00AE31CA">
      <w:pPr>
        <w:rPr>
          <w:b/>
        </w:rPr>
      </w:pPr>
      <w:r w:rsidRPr="00AE31CA">
        <w:rPr>
          <w:b/>
        </w:rPr>
        <w:t>Technical Debt und Regelverletzungen mit LLM analysieren</w:t>
      </w:r>
    </w:p>
    <w:p w14:paraId="7427A1D7" w14:textId="15F49466" w:rsidR="00930A29" w:rsidRPr="00AE31CA" w:rsidRDefault="00930A29">
      <w:pPr>
        <w:rPr>
          <w:b/>
        </w:rPr>
      </w:pPr>
      <w:r w:rsidRPr="00930A29">
        <w:rPr>
          <w:b/>
        </w:rPr>
        <w:drawing>
          <wp:inline distT="0" distB="0" distL="0" distR="0" wp14:anchorId="62EDD50F" wp14:editId="3A0BB8D6">
            <wp:extent cx="5760720" cy="2897505"/>
            <wp:effectExtent l="0" t="0" r="0" b="0"/>
            <wp:docPr id="49361605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160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9A97" w14:textId="50C392D6" w:rsidR="0039146F" w:rsidRDefault="00EA5E22">
      <w:r>
        <w:t xml:space="preserve">Die Projektanalyse mit SonarQube hat ergeben, dass es bei der Softwarequalität keine Probleme bei Sicherheit und Zuverlässigkeit gibt. Allerdings gab es 39 </w:t>
      </w:r>
      <w:r w:rsidR="0039146F">
        <w:t>Issues</w:t>
      </w:r>
      <w:r>
        <w:t xml:space="preserve"> mit der Wartbarkeit. </w:t>
      </w:r>
      <w:r w:rsidR="00C13B77">
        <w:t>Details zu diesen 39 Issues und die Maßnahmen zur Behebung auf Basis der Empfehlungen von SonarQube und ChatGpt sind nachfolgend aufgeschlüsselt:</w:t>
      </w:r>
    </w:p>
    <w:p w14:paraId="6172A491" w14:textId="7EAA7FA8" w:rsidR="0039146F" w:rsidRPr="00C13B77" w:rsidRDefault="00C13B77">
      <w:pPr>
        <w:rPr>
          <w:b/>
          <w:bCs/>
        </w:rPr>
      </w:pPr>
      <w:r w:rsidRPr="00C13B77">
        <w:rPr>
          <w:b/>
          <w:bCs/>
        </w:rPr>
        <w:t>Software Quality Analyseergebnisse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5"/>
        <w:gridCol w:w="2016"/>
        <w:gridCol w:w="5091"/>
      </w:tblGrid>
      <w:tr w:rsidR="00C13B77" w:rsidRPr="00C13B77" w14:paraId="4AAC2836" w14:textId="77777777" w:rsidTr="00930A29">
        <w:tc>
          <w:tcPr>
            <w:tcW w:w="1955" w:type="dxa"/>
            <w:shd w:val="clear" w:color="auto" w:fill="BFBFBF" w:themeFill="background1" w:themeFillShade="BF"/>
          </w:tcPr>
          <w:p w14:paraId="3FC2411B" w14:textId="5EDF4B61" w:rsidR="00C13B77" w:rsidRPr="00C13B77" w:rsidRDefault="00C13B77" w:rsidP="00C13B77">
            <w:pPr>
              <w:spacing w:before="60" w:after="60"/>
              <w:rPr>
                <w:b/>
                <w:bCs/>
              </w:rPr>
            </w:pPr>
            <w:r w:rsidRPr="00C13B77">
              <w:rPr>
                <w:b/>
                <w:bCs/>
              </w:rPr>
              <w:t>Issue</w:t>
            </w:r>
          </w:p>
        </w:tc>
        <w:tc>
          <w:tcPr>
            <w:tcW w:w="2016" w:type="dxa"/>
            <w:shd w:val="clear" w:color="auto" w:fill="BFBFBF" w:themeFill="background1" w:themeFillShade="BF"/>
          </w:tcPr>
          <w:p w14:paraId="1A488772" w14:textId="07E8CEF0" w:rsidR="00C13B77" w:rsidRPr="00C13B77" w:rsidRDefault="00C13B77" w:rsidP="00C13B77">
            <w:pPr>
              <w:spacing w:before="60" w:after="60"/>
              <w:rPr>
                <w:b/>
                <w:bCs/>
              </w:rPr>
            </w:pPr>
            <w:r w:rsidRPr="00C13B77">
              <w:rPr>
                <w:b/>
                <w:bCs/>
              </w:rPr>
              <w:t>Anzahl Issues</w:t>
            </w:r>
          </w:p>
        </w:tc>
        <w:tc>
          <w:tcPr>
            <w:tcW w:w="5091" w:type="dxa"/>
            <w:shd w:val="clear" w:color="auto" w:fill="BFBFBF" w:themeFill="background1" w:themeFillShade="BF"/>
          </w:tcPr>
          <w:p w14:paraId="6B80E3B3" w14:textId="2674683D" w:rsidR="00C13B77" w:rsidRPr="00C13B77" w:rsidRDefault="00C13B77" w:rsidP="00C13B77">
            <w:pPr>
              <w:spacing w:before="60" w:after="60"/>
              <w:rPr>
                <w:b/>
                <w:bCs/>
              </w:rPr>
            </w:pPr>
            <w:r w:rsidRPr="00C13B77">
              <w:rPr>
                <w:b/>
                <w:bCs/>
              </w:rPr>
              <w:t>Maßnahmen / LLM Empfehlungen</w:t>
            </w:r>
          </w:p>
        </w:tc>
      </w:tr>
      <w:tr w:rsidR="00C13B77" w14:paraId="69330188" w14:textId="77777777" w:rsidTr="00930A29">
        <w:tc>
          <w:tcPr>
            <w:tcW w:w="1955" w:type="dxa"/>
          </w:tcPr>
          <w:p w14:paraId="74C16AF2" w14:textId="72A5C362" w:rsidR="00C13B77" w:rsidRDefault="00C13B77" w:rsidP="00C13B77">
            <w:pPr>
              <w:spacing w:before="60" w:after="60"/>
            </w:pPr>
            <w:r>
              <w:t>Security</w:t>
            </w:r>
          </w:p>
        </w:tc>
        <w:tc>
          <w:tcPr>
            <w:tcW w:w="2016" w:type="dxa"/>
          </w:tcPr>
          <w:p w14:paraId="3B30C2AC" w14:textId="068A8405" w:rsidR="00C13B77" w:rsidRDefault="00C13B77" w:rsidP="00C13B77">
            <w:pPr>
              <w:spacing w:before="60" w:after="60"/>
            </w:pPr>
            <w:r>
              <w:t>0</w:t>
            </w:r>
          </w:p>
        </w:tc>
        <w:tc>
          <w:tcPr>
            <w:tcW w:w="5091" w:type="dxa"/>
          </w:tcPr>
          <w:p w14:paraId="58A91261" w14:textId="41C06F76" w:rsidR="00C13B77" w:rsidRDefault="00C13B77" w:rsidP="00C13B77">
            <w:pPr>
              <w:spacing w:before="60" w:after="60"/>
            </w:pPr>
            <w:r>
              <w:t>Keine Maßnahmen erforderlich</w:t>
            </w:r>
          </w:p>
        </w:tc>
      </w:tr>
      <w:tr w:rsidR="00C13B77" w14:paraId="5D757838" w14:textId="77777777" w:rsidTr="00930A29">
        <w:tc>
          <w:tcPr>
            <w:tcW w:w="1955" w:type="dxa"/>
          </w:tcPr>
          <w:p w14:paraId="5BAF3AE8" w14:textId="20BC2E50" w:rsidR="00C13B77" w:rsidRDefault="00C13B77" w:rsidP="00C13B77">
            <w:pPr>
              <w:spacing w:before="60" w:after="60"/>
            </w:pPr>
            <w:r>
              <w:t>Realiability</w:t>
            </w:r>
          </w:p>
        </w:tc>
        <w:tc>
          <w:tcPr>
            <w:tcW w:w="2016" w:type="dxa"/>
          </w:tcPr>
          <w:p w14:paraId="6C73C4B9" w14:textId="0AF7614D" w:rsidR="00C13B77" w:rsidRDefault="00C13B77" w:rsidP="00C13B77">
            <w:pPr>
              <w:spacing w:before="60" w:after="60"/>
            </w:pPr>
            <w:r>
              <w:t>0</w:t>
            </w:r>
          </w:p>
        </w:tc>
        <w:tc>
          <w:tcPr>
            <w:tcW w:w="5091" w:type="dxa"/>
          </w:tcPr>
          <w:p w14:paraId="304EE35F" w14:textId="0FDC9537" w:rsidR="00C13B77" w:rsidRDefault="00C13B77" w:rsidP="00C13B77">
            <w:pPr>
              <w:spacing w:before="60" w:after="60"/>
            </w:pPr>
            <w:r>
              <w:t>Keine Maßnahmen erforderlich</w:t>
            </w:r>
          </w:p>
        </w:tc>
      </w:tr>
      <w:tr w:rsidR="00C13B77" w14:paraId="3EDCC06B" w14:textId="77777777" w:rsidTr="00930A29">
        <w:tc>
          <w:tcPr>
            <w:tcW w:w="1955" w:type="dxa"/>
          </w:tcPr>
          <w:p w14:paraId="0B680778" w14:textId="70958D9C" w:rsidR="00C13B77" w:rsidRDefault="00C13B77" w:rsidP="00C13B77">
            <w:pPr>
              <w:spacing w:before="60" w:after="60"/>
            </w:pPr>
            <w:r>
              <w:t>Maintainability</w:t>
            </w:r>
          </w:p>
        </w:tc>
        <w:tc>
          <w:tcPr>
            <w:tcW w:w="2016" w:type="dxa"/>
          </w:tcPr>
          <w:p w14:paraId="30F346CF" w14:textId="56C92969" w:rsidR="00C13B77" w:rsidRDefault="00C13B77" w:rsidP="00C13B77">
            <w:pPr>
              <w:spacing w:before="60" w:after="60"/>
            </w:pPr>
            <w:r>
              <w:t>39</w:t>
            </w:r>
            <w:r w:rsidR="00930A29">
              <w:br/>
              <w:t>(</w:t>
            </w:r>
            <w:r w:rsidR="00930A29" w:rsidRPr="00930A29">
              <w:t>4h 31min effort</w:t>
            </w:r>
            <w:r w:rsidR="00930A29">
              <w:t>)</w:t>
            </w:r>
          </w:p>
        </w:tc>
        <w:tc>
          <w:tcPr>
            <w:tcW w:w="5091" w:type="dxa"/>
          </w:tcPr>
          <w:p w14:paraId="7FF04039" w14:textId="19698021" w:rsidR="00C13B77" w:rsidRDefault="00C13B77" w:rsidP="00C13B77">
            <w:pPr>
              <w:spacing w:before="60" w:after="60"/>
            </w:pPr>
            <w:r>
              <w:t>Maßnahmen sind nachfolgend aufgeschlüsselt nach Clean Code Attributen: Consistency, Intentionality, Adaptability</w:t>
            </w:r>
          </w:p>
        </w:tc>
      </w:tr>
    </w:tbl>
    <w:p w14:paraId="7005D79A" w14:textId="77777777" w:rsidR="00C13B77" w:rsidRDefault="00C13B77"/>
    <w:p w14:paraId="6A464AC4" w14:textId="044AAEE8" w:rsidR="00C13B77" w:rsidRPr="00C13B77" w:rsidRDefault="00C13B77">
      <w:pPr>
        <w:rPr>
          <w:b/>
          <w:bCs/>
        </w:rPr>
      </w:pPr>
      <w:r w:rsidRPr="00C13B77">
        <w:rPr>
          <w:b/>
          <w:bCs/>
        </w:rPr>
        <w:t>Clean Code Attribute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098"/>
      </w:tblGrid>
      <w:tr w:rsidR="00C13B77" w:rsidRPr="00C13B77" w14:paraId="55299C60" w14:textId="77777777" w:rsidTr="00930A29">
        <w:tc>
          <w:tcPr>
            <w:tcW w:w="1980" w:type="dxa"/>
            <w:shd w:val="clear" w:color="auto" w:fill="BFBFBF" w:themeFill="background1" w:themeFillShade="BF"/>
          </w:tcPr>
          <w:p w14:paraId="0FDE0781" w14:textId="77777777" w:rsidR="00C13B77" w:rsidRPr="00C13B77" w:rsidRDefault="00C13B77" w:rsidP="00FF538C">
            <w:pPr>
              <w:spacing w:before="60" w:after="60"/>
              <w:rPr>
                <w:b/>
                <w:bCs/>
              </w:rPr>
            </w:pPr>
            <w:r w:rsidRPr="00C13B77">
              <w:rPr>
                <w:b/>
                <w:bCs/>
              </w:rPr>
              <w:t>Issue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53D2A03A" w14:textId="77777777" w:rsidR="00C13B77" w:rsidRPr="00C13B77" w:rsidRDefault="00C13B77" w:rsidP="00FF538C">
            <w:pPr>
              <w:spacing w:before="60" w:after="60"/>
              <w:rPr>
                <w:b/>
                <w:bCs/>
              </w:rPr>
            </w:pPr>
            <w:r w:rsidRPr="00C13B77">
              <w:rPr>
                <w:b/>
                <w:bCs/>
              </w:rPr>
              <w:t>Anzahl Issues</w:t>
            </w:r>
          </w:p>
        </w:tc>
        <w:tc>
          <w:tcPr>
            <w:tcW w:w="5098" w:type="dxa"/>
            <w:shd w:val="clear" w:color="auto" w:fill="BFBFBF" w:themeFill="background1" w:themeFillShade="BF"/>
          </w:tcPr>
          <w:p w14:paraId="5259AC08" w14:textId="77777777" w:rsidR="00C13B77" w:rsidRPr="00C13B77" w:rsidRDefault="00C13B77" w:rsidP="00FF538C">
            <w:pPr>
              <w:spacing w:before="60" w:after="60"/>
              <w:rPr>
                <w:b/>
                <w:bCs/>
              </w:rPr>
            </w:pPr>
            <w:r w:rsidRPr="00C13B77">
              <w:rPr>
                <w:b/>
                <w:bCs/>
              </w:rPr>
              <w:t>Maßnahmen / LLM Empfehlungen</w:t>
            </w:r>
          </w:p>
        </w:tc>
      </w:tr>
      <w:tr w:rsidR="00C13B77" w:rsidRPr="00C13B77" w14:paraId="053E3676" w14:textId="77777777" w:rsidTr="00930A29">
        <w:tc>
          <w:tcPr>
            <w:tcW w:w="1980" w:type="dxa"/>
          </w:tcPr>
          <w:p w14:paraId="3860F72D" w14:textId="35351634" w:rsidR="00C13B77" w:rsidRDefault="00C13B77" w:rsidP="00FF538C">
            <w:pPr>
              <w:spacing w:before="60" w:after="60"/>
            </w:pPr>
            <w:r>
              <w:t>Consistency</w:t>
            </w:r>
          </w:p>
        </w:tc>
        <w:tc>
          <w:tcPr>
            <w:tcW w:w="1984" w:type="dxa"/>
          </w:tcPr>
          <w:p w14:paraId="7AF74D30" w14:textId="0F4FA01A" w:rsidR="00C13B77" w:rsidRDefault="00C13B77" w:rsidP="00FF538C">
            <w:pPr>
              <w:spacing w:before="60" w:after="60"/>
            </w:pPr>
            <w:r>
              <w:t>16</w:t>
            </w:r>
            <w:r w:rsidR="00930A29">
              <w:br/>
              <w:t>(</w:t>
            </w:r>
            <w:r w:rsidR="00930A29" w:rsidRPr="00930A29">
              <w:t>2h 35min effort</w:t>
            </w:r>
            <w:r w:rsidR="00930A29">
              <w:t>)</w:t>
            </w:r>
          </w:p>
        </w:tc>
        <w:tc>
          <w:tcPr>
            <w:tcW w:w="5098" w:type="dxa"/>
          </w:tcPr>
          <w:p w14:paraId="7CFACD77" w14:textId="3D6BB6BB" w:rsidR="00C13B77" w:rsidRDefault="00C13B77" w:rsidP="00C13B77">
            <w:pPr>
              <w:pStyle w:val="Listenabsatz"/>
              <w:numPr>
                <w:ilvl w:val="0"/>
                <w:numId w:val="1"/>
              </w:numPr>
              <w:spacing w:before="60" w:after="60"/>
            </w:pPr>
            <w:r w:rsidRPr="00C13B77">
              <w:t>15 x package naming</w:t>
            </w:r>
            <w:r w:rsidR="00181A11">
              <w:t>:</w:t>
            </w:r>
            <w:r w:rsidRPr="00C13B77">
              <w:t xml:space="preserve"> nach best practices </w:t>
            </w:r>
            <w:r w:rsidR="00181A11">
              <w:t xml:space="preserve">conventions </w:t>
            </w:r>
            <w:r w:rsidRPr="00C13B77">
              <w:t>anpassen, d.h. konkret</w:t>
            </w:r>
            <w:r>
              <w:t xml:space="preserve"> abändern in</w:t>
            </w:r>
            <w:r w:rsidRPr="00C13B77">
              <w:t xml:space="preserve"> nur Kl</w:t>
            </w:r>
            <w:r>
              <w:t>einbuchstaben, keine Underscores</w:t>
            </w:r>
          </w:p>
          <w:p w14:paraId="7C593474" w14:textId="398B1275" w:rsidR="00C13B77" w:rsidRPr="00C13B77" w:rsidRDefault="00C13B77" w:rsidP="00C13B77">
            <w:pPr>
              <w:pStyle w:val="Listenabsatz"/>
              <w:numPr>
                <w:ilvl w:val="0"/>
                <w:numId w:val="1"/>
              </w:numPr>
              <w:spacing w:before="60" w:after="60"/>
            </w:pPr>
            <w:r>
              <w:t>1 x uneindeutiger Klassenname</w:t>
            </w:r>
            <w:r w:rsidR="00930A29">
              <w:t>:</w:t>
            </w:r>
            <w:r>
              <w:t xml:space="preserve"> einer nicht implementierten Klasse, d.h. Klasse korrekt von Exception erben lassen und implementieren oder löschen.</w:t>
            </w:r>
          </w:p>
        </w:tc>
      </w:tr>
      <w:tr w:rsidR="00C13B77" w14:paraId="33931A85" w14:textId="77777777" w:rsidTr="00930A29">
        <w:tc>
          <w:tcPr>
            <w:tcW w:w="1980" w:type="dxa"/>
          </w:tcPr>
          <w:p w14:paraId="3EBC0B22" w14:textId="5825A673" w:rsidR="00C13B77" w:rsidRDefault="00C13B77" w:rsidP="00FF538C">
            <w:pPr>
              <w:spacing w:before="60" w:after="60"/>
            </w:pPr>
            <w:r>
              <w:lastRenderedPageBreak/>
              <w:t>Intentionality</w:t>
            </w:r>
          </w:p>
        </w:tc>
        <w:tc>
          <w:tcPr>
            <w:tcW w:w="1984" w:type="dxa"/>
          </w:tcPr>
          <w:p w14:paraId="4F03EF04" w14:textId="75BFED60" w:rsidR="00C13B77" w:rsidRDefault="00C13B77" w:rsidP="00FF538C">
            <w:pPr>
              <w:spacing w:before="60" w:after="60"/>
            </w:pPr>
            <w:r>
              <w:t>21</w:t>
            </w:r>
            <w:r w:rsidR="00930A29">
              <w:br/>
              <w:t>(</w:t>
            </w:r>
            <w:r w:rsidR="00930A29" w:rsidRPr="00930A29">
              <w:t>1h 36min effort</w:t>
            </w:r>
            <w:r w:rsidR="00930A29">
              <w:t>)</w:t>
            </w:r>
          </w:p>
        </w:tc>
        <w:tc>
          <w:tcPr>
            <w:tcW w:w="5098" w:type="dxa"/>
          </w:tcPr>
          <w:p w14:paraId="4A3697BB" w14:textId="71469DF2" w:rsidR="00C13B77" w:rsidRDefault="00C13B77" w:rsidP="00C13B77">
            <w:pPr>
              <w:pStyle w:val="Listenabsatz"/>
              <w:numPr>
                <w:ilvl w:val="0"/>
                <w:numId w:val="1"/>
              </w:numPr>
              <w:spacing w:before="60" w:after="60"/>
            </w:pPr>
            <w:r>
              <w:t xml:space="preserve">3 x </w:t>
            </w:r>
            <w:r w:rsidR="00607AC8">
              <w:t>bei</w:t>
            </w:r>
            <w:r>
              <w:t xml:space="preserve"> Lamda Expressions mit nur einem Argument</w:t>
            </w:r>
            <w:r w:rsidR="00181A11">
              <w:t>:</w:t>
            </w:r>
            <w:r w:rsidR="00607AC8">
              <w:t xml:space="preserve"> unnötige Klammerung um das Argument entfernen für bessere Lesbarkeit und Vereinfachung</w:t>
            </w:r>
          </w:p>
          <w:p w14:paraId="3DF395B8" w14:textId="1B04F6E0" w:rsidR="00607AC8" w:rsidRDefault="00181A11" w:rsidP="00C13B77">
            <w:pPr>
              <w:pStyle w:val="Listenabsatz"/>
              <w:numPr>
                <w:ilvl w:val="0"/>
                <w:numId w:val="1"/>
              </w:numPr>
              <w:spacing w:before="60" w:after="60"/>
            </w:pPr>
            <w:r>
              <w:t>10</w:t>
            </w:r>
            <w:r w:rsidR="00607AC8">
              <w:t xml:space="preserve"> x ungenutzte private </w:t>
            </w:r>
            <w:r w:rsidR="00930A29">
              <w:t>fields:</w:t>
            </w:r>
            <w:r w:rsidR="00607AC8">
              <w:t xml:space="preserve"> klare Dokumentation/Kommentierung </w:t>
            </w:r>
            <w:r>
              <w:t xml:space="preserve">des Zwecks </w:t>
            </w:r>
            <w:r w:rsidR="00607AC8">
              <w:t>und Hinweis</w:t>
            </w:r>
            <w:r>
              <w:t xml:space="preserve"> darauf, dass diese künftig verwendet wird durch noch geplante künftige Implementierungen</w:t>
            </w:r>
          </w:p>
          <w:p w14:paraId="678B641B" w14:textId="2490FE90" w:rsidR="00607AC8" w:rsidRDefault="00181A11" w:rsidP="00C13B77">
            <w:pPr>
              <w:pStyle w:val="Listenabsatz"/>
              <w:numPr>
                <w:ilvl w:val="0"/>
                <w:numId w:val="1"/>
              </w:numPr>
              <w:spacing w:before="60" w:after="60"/>
            </w:pPr>
            <w:r>
              <w:t>4 x leere Klassen</w:t>
            </w:r>
            <w:r w:rsidR="00930A29">
              <w:t xml:space="preserve">: </w:t>
            </w:r>
            <w:r>
              <w:t>klare Dokumentation/Kommentierung des Zwecks und Hinweis</w:t>
            </w:r>
            <w:r>
              <w:t xml:space="preserve"> </w:t>
            </w:r>
            <w:r>
              <w:t>darauf</w:t>
            </w:r>
            <w:r>
              <w:t>,</w:t>
            </w:r>
            <w:r>
              <w:t xml:space="preserve"> dass diese </w:t>
            </w:r>
            <w:r>
              <w:t>noch implementiert wird oder ein Interface daraus machen.</w:t>
            </w:r>
          </w:p>
          <w:p w14:paraId="5C4E8758" w14:textId="38A20591" w:rsidR="00181A11" w:rsidRDefault="00181A11" w:rsidP="00C13B77">
            <w:pPr>
              <w:pStyle w:val="Listenabsatz"/>
              <w:numPr>
                <w:ilvl w:val="0"/>
                <w:numId w:val="1"/>
              </w:numPr>
              <w:spacing w:before="60" w:after="60"/>
            </w:pPr>
            <w:r>
              <w:t>1 ungenutzer Methodenparameter</w:t>
            </w:r>
            <w:r w:rsidR="00930A29">
              <w:t>: Dokumentation/Kommentar, dass erst</w:t>
            </w:r>
            <w:r>
              <w:t xml:space="preserve"> </w:t>
            </w:r>
            <w:r w:rsidR="00930A29">
              <w:t>später verwendet wird und wofür</w:t>
            </w:r>
          </w:p>
          <w:p w14:paraId="69FBFEDE" w14:textId="77777777" w:rsidR="00181A11" w:rsidRDefault="00181A11" w:rsidP="00C13B77">
            <w:pPr>
              <w:pStyle w:val="Listenabsatz"/>
              <w:numPr>
                <w:ilvl w:val="0"/>
                <w:numId w:val="1"/>
              </w:numPr>
              <w:spacing w:before="60" w:after="60"/>
            </w:pPr>
            <w:r>
              <w:t xml:space="preserve">2 x Regex Syntax in kompakte Syntax umändern, z.B. </w:t>
            </w:r>
            <w:hyperlink r:id="rId6" w:history="1">
              <w:r w:rsidRPr="009543E6">
                <w:rPr>
                  <w:rStyle w:val="Hyperlink"/>
                </w:rPr>
                <w:t>\\d</w:t>
              </w:r>
            </w:hyperlink>
            <w:r>
              <w:t xml:space="preserve"> statt [0-9]</w:t>
            </w:r>
          </w:p>
          <w:p w14:paraId="64F55A39" w14:textId="296130BA" w:rsidR="00181A11" w:rsidRDefault="00930A29" w:rsidP="00C13B77">
            <w:pPr>
              <w:pStyle w:val="Listenabsatz"/>
              <w:numPr>
                <w:ilvl w:val="0"/>
                <w:numId w:val="1"/>
              </w:numPr>
              <w:spacing w:before="60" w:after="60"/>
            </w:pPr>
            <w:r>
              <w:t>1 x leere Methode: Kommentierung warum bzw. dass später implementiert wird</w:t>
            </w:r>
          </w:p>
        </w:tc>
      </w:tr>
      <w:tr w:rsidR="00C13B77" w:rsidRPr="00930A29" w14:paraId="0048A18E" w14:textId="77777777" w:rsidTr="00930A29">
        <w:tc>
          <w:tcPr>
            <w:tcW w:w="1980" w:type="dxa"/>
          </w:tcPr>
          <w:p w14:paraId="2D6D23AE" w14:textId="2128580C" w:rsidR="00C13B77" w:rsidRDefault="00C13B77" w:rsidP="00FF538C">
            <w:pPr>
              <w:spacing w:before="60" w:after="60"/>
            </w:pPr>
            <w:r>
              <w:t>Adaptability</w:t>
            </w:r>
          </w:p>
        </w:tc>
        <w:tc>
          <w:tcPr>
            <w:tcW w:w="1984" w:type="dxa"/>
          </w:tcPr>
          <w:p w14:paraId="4EFE8900" w14:textId="45AC83FE" w:rsidR="00C13B77" w:rsidRDefault="00C13B77" w:rsidP="00FF538C">
            <w:pPr>
              <w:spacing w:before="60" w:after="60"/>
            </w:pPr>
            <w:r>
              <w:t>2</w:t>
            </w:r>
            <w:r w:rsidR="00930A29">
              <w:br/>
              <w:t>(</w:t>
            </w:r>
            <w:r w:rsidR="00930A29" w:rsidRPr="00930A29">
              <w:t>20min effort</w:t>
            </w:r>
            <w:r w:rsidR="00930A29">
              <w:t>)</w:t>
            </w:r>
          </w:p>
        </w:tc>
        <w:tc>
          <w:tcPr>
            <w:tcW w:w="5098" w:type="dxa"/>
          </w:tcPr>
          <w:p w14:paraId="15DAA716" w14:textId="46BF1E40" w:rsidR="00C13B77" w:rsidRPr="00930A29" w:rsidRDefault="00930A29" w:rsidP="00930A29">
            <w:pPr>
              <w:pStyle w:val="Listenabsatz"/>
              <w:numPr>
                <w:ilvl w:val="0"/>
                <w:numId w:val="1"/>
              </w:numPr>
              <w:spacing w:before="60" w:after="60"/>
            </w:pPr>
            <w:r w:rsidRPr="00930A29">
              <w:t>2 x public fields: auf privat um</w:t>
            </w:r>
            <w:r>
              <w:t>stellen und getter/setter oder static final constant draus machen</w:t>
            </w:r>
          </w:p>
        </w:tc>
      </w:tr>
    </w:tbl>
    <w:p w14:paraId="00223016" w14:textId="2CF863FA" w:rsidR="00AE31CA" w:rsidRDefault="0039146F">
      <w:r>
        <w:t xml:space="preserve"> </w:t>
      </w:r>
    </w:p>
    <w:sectPr w:rsidR="00AE31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443B71"/>
    <w:multiLevelType w:val="hybridMultilevel"/>
    <w:tmpl w:val="33721006"/>
    <w:lvl w:ilvl="0" w:tplc="CCE2855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86871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4B"/>
    <w:rsid w:val="00181A11"/>
    <w:rsid w:val="0039146F"/>
    <w:rsid w:val="003B264B"/>
    <w:rsid w:val="00607AC8"/>
    <w:rsid w:val="00930A29"/>
    <w:rsid w:val="00A80458"/>
    <w:rsid w:val="00AE31CA"/>
    <w:rsid w:val="00C13B77"/>
    <w:rsid w:val="00C2002C"/>
    <w:rsid w:val="00EA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93829"/>
  <w15:chartTrackingRefBased/>
  <w15:docId w15:val="{213A03F4-BA55-4461-A4EA-DD201FC8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2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B2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B2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B2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B2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B2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B2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B2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B2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B2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B2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B2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B264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B264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B264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B264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B264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B264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B2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B2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B2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B2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B2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B264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B264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B264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B2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B264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B264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C13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81A11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81A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1729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Ivanovic</dc:creator>
  <cp:keywords/>
  <dc:description/>
  <cp:lastModifiedBy>Svetlana Ivanovic</cp:lastModifiedBy>
  <cp:revision>3</cp:revision>
  <dcterms:created xsi:type="dcterms:W3CDTF">2024-12-02T20:25:00Z</dcterms:created>
  <dcterms:modified xsi:type="dcterms:W3CDTF">2024-12-02T21:56:00Z</dcterms:modified>
</cp:coreProperties>
</file>