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02A56"/>
          <w:sz w:val="60"/>
        </w:rPr>
        <w:t>CloudSeals TrustOps</w:t>
      </w:r>
    </w:p>
    <w:p>
      <w:pPr>
        <w:jc w:val="center"/>
      </w:pPr>
      <w:r>
        <w:rPr>
          <w:b/>
          <w:color w:val="0B63CE"/>
          <w:sz w:val="48"/>
        </w:rPr>
        <w:t>End-to-End POC Technical Design</w:t>
      </w:r>
    </w:p>
    <w:p>
      <w:pPr>
        <w:jc w:val="center"/>
      </w:pPr>
      <w:r>
        <w:rPr>
          <w:color w:val="4A5568"/>
          <w:sz w:val="26"/>
        </w:rPr>
        <w:t>Diagnosis → Governed Agent Runtime → Evidence Fabric → EU AI Act Readiness</w:t>
      </w:r>
    </w:p>
    <w:p/>
    <w:tbl>
      <w:tblPr>
        <w:tblStyle w:val="TableGrid"/>
        <w:tblW w:type="auto" w:w="0"/>
        <w:jc w:val="center"/>
        <w:tblLook w:firstColumn="1" w:firstRow="1" w:lastColumn="0" w:lastRow="0" w:noHBand="0" w:noVBand="1" w:val="04A0"/>
      </w:tblPr>
      <w:tblGrid>
        <w:gridCol w:w="10166"/>
      </w:tblGrid>
      <w:tr>
        <w:tc>
          <w:tcPr>
            <w:tcW w:type="dxa" w:w="10166"/>
            <w:shd w:fill="EEF5FF"/>
            <w:tcMar>
              <w:top w:w="140" w:type="dxa"/>
              <w:start w:w="160" w:type="dxa"/>
              <w:bottom w:w="140" w:type="dxa"/>
              <w:end w:w="160" w:type="dxa"/>
            </w:tcMar>
          </w:tcPr>
          <w:p>
            <w:r>
              <w:rPr>
                <w:b/>
                <w:color w:val="102A56"/>
                <w:sz w:val="22"/>
              </w:rPr>
              <w:t>Engineering objective</w:t>
              <w:br/>
            </w:r>
            <w:r>
              <w:rPr>
                <w:color w:val="172033"/>
                <w:sz w:val="20"/>
              </w:rPr>
              <w:t>Deliver a client-demo-ready TrustOps proof of concept that demonstrates how an enterprise AI use case is discovered, risk-classified, governed at runtime, executed through bounded authority, cryptographically evidenced, and continuously mapped into EU AI Act readiness outputs. The POC must be credible to engineering, security, audit, risk and executive stakeholders.</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F5F8FC"/>
            <w:tcMar>
              <w:top w:w="90" w:type="dxa"/>
              <w:start w:w="110" w:type="dxa"/>
              <w:bottom w:w="90" w:type="dxa"/>
              <w:end w:w="110" w:type="dxa"/>
            </w:tcMar>
          </w:tcPr>
          <w:p>
            <w:r>
              <w:rPr>
                <w:b/>
              </w:rPr>
              <w:t>Document</w:t>
            </w:r>
          </w:p>
        </w:tc>
        <w:tc>
          <w:tcPr>
            <w:tcW w:type="dxa" w:w="5083"/>
            <w:tcMar>
              <w:top w:w="90" w:type="dxa"/>
              <w:start w:w="110" w:type="dxa"/>
              <w:bottom w:w="90" w:type="dxa"/>
              <w:end w:w="110" w:type="dxa"/>
            </w:tcMar>
          </w:tcPr>
          <w:p>
            <w:r>
              <w:t>CloudSeals TrustOps - POC Technical Design</w:t>
            </w:r>
          </w:p>
        </w:tc>
      </w:tr>
      <w:tr>
        <w:tc>
          <w:tcPr>
            <w:tcW w:type="dxa" w:w="5083"/>
            <w:shd w:fill="F5F8FC"/>
            <w:tcMar>
              <w:top w:w="90" w:type="dxa"/>
              <w:start w:w="110" w:type="dxa"/>
              <w:bottom w:w="90" w:type="dxa"/>
              <w:end w:w="110" w:type="dxa"/>
            </w:tcMar>
          </w:tcPr>
          <w:p>
            <w:r>
              <w:rPr>
                <w:b/>
              </w:rPr>
              <w:t>Version</w:t>
            </w:r>
          </w:p>
        </w:tc>
        <w:tc>
          <w:tcPr>
            <w:tcW w:type="dxa" w:w="5083"/>
            <w:tcMar>
              <w:top w:w="90" w:type="dxa"/>
              <w:start w:w="110" w:type="dxa"/>
              <w:bottom w:w="90" w:type="dxa"/>
              <w:end w:w="110" w:type="dxa"/>
            </w:tcMar>
          </w:tcPr>
          <w:p>
            <w:r>
              <w:t>1.0</w:t>
            </w:r>
          </w:p>
        </w:tc>
      </w:tr>
      <w:tr>
        <w:tc>
          <w:tcPr>
            <w:tcW w:type="dxa" w:w="5083"/>
            <w:shd w:fill="F5F8FC"/>
            <w:tcMar>
              <w:top w:w="90" w:type="dxa"/>
              <w:start w:w="110" w:type="dxa"/>
              <w:bottom w:w="90" w:type="dxa"/>
              <w:end w:w="110" w:type="dxa"/>
            </w:tcMar>
          </w:tcPr>
          <w:p>
            <w:r>
              <w:rPr>
                <w:b/>
              </w:rPr>
              <w:t>Status</w:t>
            </w:r>
          </w:p>
        </w:tc>
        <w:tc>
          <w:tcPr>
            <w:tcW w:type="dxa" w:w="5083"/>
            <w:tcMar>
              <w:top w:w="90" w:type="dxa"/>
              <w:start w:w="110" w:type="dxa"/>
              <w:bottom w:w="90" w:type="dxa"/>
              <w:end w:w="110" w:type="dxa"/>
            </w:tcMar>
          </w:tcPr>
          <w:p>
            <w:r>
              <w:t>Engineering build baseline</w:t>
            </w:r>
          </w:p>
        </w:tc>
      </w:tr>
      <w:tr>
        <w:tc>
          <w:tcPr>
            <w:tcW w:type="dxa" w:w="5083"/>
            <w:shd w:fill="F5F8FC"/>
            <w:tcMar>
              <w:top w:w="90" w:type="dxa"/>
              <w:start w:w="110" w:type="dxa"/>
              <w:bottom w:w="90" w:type="dxa"/>
              <w:end w:w="110" w:type="dxa"/>
            </w:tcMar>
          </w:tcPr>
          <w:p>
            <w:r>
              <w:rPr>
                <w:b/>
              </w:rPr>
              <w:t>Audience</w:t>
            </w:r>
          </w:p>
        </w:tc>
        <w:tc>
          <w:tcPr>
            <w:tcW w:type="dxa" w:w="5083"/>
            <w:tcMar>
              <w:top w:w="90" w:type="dxa"/>
              <w:start w:w="110" w:type="dxa"/>
              <w:bottom w:w="90" w:type="dxa"/>
              <w:end w:w="110" w:type="dxa"/>
            </w:tcMar>
          </w:tcPr>
          <w:p>
            <w:r>
              <w:t>Platform Engineering, AI Engineering, Frontend, DevSecOps, QA, Product, Sales Engineering</w:t>
            </w:r>
          </w:p>
        </w:tc>
      </w:tr>
      <w:tr>
        <w:tc>
          <w:tcPr>
            <w:tcW w:type="dxa" w:w="5083"/>
            <w:shd w:fill="F5F8FC"/>
            <w:tcMar>
              <w:top w:w="90" w:type="dxa"/>
              <w:start w:w="110" w:type="dxa"/>
              <w:bottom w:w="90" w:type="dxa"/>
              <w:end w:w="110" w:type="dxa"/>
            </w:tcMar>
          </w:tcPr>
          <w:p>
            <w:r>
              <w:rPr>
                <w:b/>
              </w:rPr>
              <w:t>Primary POC</w:t>
            </w:r>
          </w:p>
        </w:tc>
        <w:tc>
          <w:tcPr>
            <w:tcW w:type="dxa" w:w="5083"/>
            <w:tcMar>
              <w:top w:w="90" w:type="dxa"/>
              <w:start w:w="110" w:type="dxa"/>
              <w:bottom w:w="90" w:type="dxa"/>
              <w:end w:w="110" w:type="dxa"/>
            </w:tcMar>
          </w:tcPr>
          <w:p>
            <w:r>
              <w:t>LedgerSight AR/Cash Reconciliation + AI Governance Diagnosis</w:t>
            </w:r>
          </w:p>
        </w:tc>
      </w:tr>
      <w:tr>
        <w:tc>
          <w:tcPr>
            <w:tcW w:type="dxa" w:w="5083"/>
            <w:shd w:fill="F5F8FC"/>
            <w:tcMar>
              <w:top w:w="90" w:type="dxa"/>
              <w:start w:w="110" w:type="dxa"/>
              <w:bottom w:w="90" w:type="dxa"/>
              <w:end w:w="110" w:type="dxa"/>
            </w:tcMar>
          </w:tcPr>
          <w:p>
            <w:r>
              <w:rPr>
                <w:b/>
              </w:rPr>
              <w:t>Target deployment</w:t>
            </w:r>
          </w:p>
        </w:tc>
        <w:tc>
          <w:tcPr>
            <w:tcW w:type="dxa" w:w="5083"/>
            <w:tcMar>
              <w:top w:w="90" w:type="dxa"/>
              <w:start w:w="110" w:type="dxa"/>
              <w:bottom w:w="90" w:type="dxa"/>
              <w:end w:w="110" w:type="dxa"/>
            </w:tcMar>
          </w:tcPr>
          <w:p>
            <w:r>
              <w:t>AWS development/demo environment</w:t>
            </w:r>
          </w:p>
        </w:tc>
      </w:tr>
      <w:tr>
        <w:tc>
          <w:tcPr>
            <w:tcW w:type="dxa" w:w="5083"/>
            <w:shd w:fill="F5F8FC"/>
            <w:tcMar>
              <w:top w:w="90" w:type="dxa"/>
              <w:start w:w="110" w:type="dxa"/>
              <w:bottom w:w="90" w:type="dxa"/>
              <w:end w:w="110" w:type="dxa"/>
            </w:tcMar>
          </w:tcPr>
          <w:p>
            <w:r>
              <w:rPr>
                <w:b/>
              </w:rPr>
              <w:t>Architecture principle</w:t>
            </w:r>
          </w:p>
        </w:tc>
        <w:tc>
          <w:tcPr>
            <w:tcW w:type="dxa" w:w="5083"/>
            <w:tcMar>
              <w:top w:w="90" w:type="dxa"/>
              <w:start w:w="110" w:type="dxa"/>
              <w:bottom w:w="90" w:type="dxa"/>
              <w:end w:w="110" w:type="dxa"/>
            </w:tcMar>
          </w:tcPr>
          <w:p>
            <w:r>
              <w:t>AI may reason probabilistically; consequences run only within deterministic authority, approval and evidence boundaries.</w:t>
            </w:r>
          </w:p>
        </w:tc>
      </w:tr>
    </w:tbl>
    <w:p>
      <w:r>
        <w:br w:type="page"/>
      </w:r>
    </w:p>
    <w:p>
      <w:pPr>
        <w:pStyle w:val="Heading1"/>
      </w:pPr>
      <w:r>
        <w:t>1. Executive Summary</w:t>
      </w:r>
    </w:p>
    <w:p>
      <w:r>
        <w:t>TrustOps should be built as a reusable governed-agent runtime, not as a compliance questionnaire and not as a LedgerSight-only application. The demo experience should begin with a simple client-facing AI Architecture Diagnosis, generate a readiness/risk report, convert the selected use case into a bounded POC workflow, then demonstrate runtime governance and signed evidence. The same evidence is subsequently used to maintain readiness mappings and produce audit-oriented reports.</w:t>
      </w:r>
    </w:p>
    <w:tbl>
      <w:tblPr>
        <w:tblStyle w:val="TableGrid"/>
        <w:tblW w:type="auto" w:w="0"/>
        <w:jc w:val="center"/>
        <w:tblLook w:firstColumn="1" w:firstRow="1" w:lastColumn="0" w:lastRow="0" w:noHBand="0" w:noVBand="1" w:val="04A0"/>
      </w:tblPr>
      <w:tblGrid>
        <w:gridCol w:w="10166"/>
      </w:tblGrid>
      <w:tr>
        <w:tc>
          <w:tcPr>
            <w:tcW w:type="dxa" w:w="10166"/>
            <w:shd w:fill="EAF3FF"/>
            <w:tcMar>
              <w:top w:w="140" w:type="dxa"/>
              <w:start w:w="160" w:type="dxa"/>
              <w:bottom w:w="140" w:type="dxa"/>
              <w:end w:w="160" w:type="dxa"/>
            </w:tcMar>
          </w:tcPr>
          <w:p>
            <w:r>
              <w:rPr>
                <w:b/>
                <w:color w:val="102A56"/>
                <w:sz w:val="22"/>
              </w:rPr>
              <w:t>Recommended product shape</w:t>
              <w:br/>
            </w:r>
            <w:r>
              <w:rPr>
                <w:color w:val="172033"/>
                <w:sz w:val="20"/>
              </w:rPr>
              <w:t>One TrustOps Core + configurable Workflow Packs + Evidence Fabric + Readiness/Reporting layer. LedgerSight AR/Cash is the first complete workflow pack used to prove the architecture. EU AI Act readiness is a governed reporting capability fed by the same inventory, controls and evidence - not a separate forked product.</w:t>
            </w:r>
          </w:p>
        </w:tc>
      </w:tr>
    </w:tbl>
    <w:p/>
    <w:p>
      <w:pPr>
        <w:pStyle w:val="Heading2"/>
      </w:pPr>
      <w:r>
        <w:t>1.1 POC outcomes</w:t>
      </w:r>
    </w:p>
    <w:p>
      <w:pPr>
        <w:pStyle w:val="ListBullet"/>
      </w:pPr>
      <w:r>
        <w:t>Walk a client from assessment to a working governed-agent use case in one coherent demo.</w:t>
      </w:r>
    </w:p>
    <w:p>
      <w:pPr>
        <w:pStyle w:val="ListBullet"/>
      </w:pPr>
      <w:r>
        <w:t>Show deterministic policy, delegated authority, human approval and evidence-first execution around agent actions.</w:t>
      </w:r>
    </w:p>
    <w:p>
      <w:pPr>
        <w:pStyle w:val="ListBullet"/>
      </w:pPr>
      <w:r>
        <w:t>Prove a full transaction from source data to recommendation, policy decision, approval, execution acknowledgement and cryptographic verification.</w:t>
      </w:r>
    </w:p>
    <w:p>
      <w:pPr>
        <w:pStyle w:val="ListBullet"/>
      </w:pPr>
      <w:r>
        <w:t>Generate an AI Architecture Diagnosis report, risk/role classification, control-gap matrix and EU AI Act readiness pack from captured data and runtime evidence.</w:t>
      </w:r>
    </w:p>
    <w:p>
      <w:pPr>
        <w:pStyle w:val="ListBullet"/>
      </w:pPr>
      <w:r>
        <w:t>Provide engineering with stable APIs, schemas, deployment topology and acceptance tests that can evolve into production.</w:t>
      </w:r>
    </w:p>
    <w:p>
      <w:pPr>
        <w:pStyle w:val="Heading2"/>
      </w:pPr>
      <w:r>
        <w:t>1.2 What the POC is not</w:t>
      </w:r>
    </w:p>
    <w:p>
      <w:pPr>
        <w:pStyle w:val="ListBullet"/>
      </w:pPr>
      <w:r>
        <w:t>Not a legal opinion or automated guarantee of EU AI Act compliance.</w:t>
      </w:r>
    </w:p>
    <w:p>
      <w:pPr>
        <w:pStyle w:val="ListBullet"/>
      </w:pPr>
      <w:r>
        <w:t>Not a general-purpose foundation-model platform.</w:t>
      </w:r>
    </w:p>
    <w:p>
      <w:pPr>
        <w:pStyle w:val="ListBullet"/>
      </w:pPr>
      <w:r>
        <w:t>Not a blank “build any agent” canvas.</w:t>
      </w:r>
    </w:p>
    <w:p>
      <w:pPr>
        <w:pStyle w:val="ListBullet"/>
      </w:pPr>
      <w:r>
        <w:t>Not a replacement for ERP, GRC, SIEM, IAM or existing AI platforms.</w:t>
      </w:r>
    </w:p>
    <w:p>
      <w:pPr>
        <w:pStyle w:val="ListBullet"/>
      </w:pPr>
      <w:r>
        <w:t>Not an autonomous write-back system that gives LLMs direct production credentials.</w:t>
      </w:r>
    </w:p>
    <w:p>
      <w:pPr>
        <w:pStyle w:val="Heading1"/>
      </w:pPr>
      <w:r>
        <w:t>2. Client Journey and Demo Narrative</w:t>
      </w:r>
    </w:p>
    <w:p>
      <w:r>
        <w:t>The demo should be easy to understand before any deep technical discussion. The client sees an eight-stage journey. Engineering should design every screen and backend object around this journey.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shd w:fill="102A56"/>
            <w:vAlign w:val="center"/>
            <w:tcMar>
              <w:top w:w="90" w:type="dxa"/>
              <w:start w:w="110" w:type="dxa"/>
              <w:bottom w:w="90" w:type="dxa"/>
              <w:end w:w="110" w:type="dxa"/>
            </w:tcMar>
          </w:tcPr>
          <w:p>
            <w:r>
              <w:rPr>
                <w:b/>
                <w:color w:val="FFFFFF"/>
                <w:sz w:val="17"/>
              </w:rPr>
              <w:t>Stage</w:t>
            </w:r>
          </w:p>
        </w:tc>
        <w:tc>
          <w:tcPr>
            <w:tcW w:type="dxa" w:w="1944"/>
            <w:shd w:fill="102A56"/>
            <w:vAlign w:val="center"/>
            <w:tcMar>
              <w:top w:w="90" w:type="dxa"/>
              <w:start w:w="110" w:type="dxa"/>
              <w:bottom w:w="90" w:type="dxa"/>
              <w:end w:w="110" w:type="dxa"/>
            </w:tcMar>
          </w:tcPr>
          <w:p>
            <w:r>
              <w:rPr>
                <w:b/>
                <w:color w:val="FFFFFF"/>
                <w:sz w:val="17"/>
              </w:rPr>
              <w:t>Client sees</w:t>
            </w:r>
          </w:p>
        </w:tc>
        <w:tc>
          <w:tcPr>
            <w:tcW w:type="dxa" w:w="3168"/>
            <w:shd w:fill="102A56"/>
            <w:vAlign w:val="center"/>
            <w:tcMar>
              <w:top w:w="90" w:type="dxa"/>
              <w:start w:w="110" w:type="dxa"/>
              <w:bottom w:w="90" w:type="dxa"/>
              <w:end w:w="110" w:type="dxa"/>
            </w:tcMar>
          </w:tcPr>
          <w:p>
            <w:r>
              <w:rPr>
                <w:b/>
                <w:color w:val="FFFFFF"/>
                <w:sz w:val="17"/>
              </w:rPr>
              <w:t>Platform does</w:t>
            </w:r>
          </w:p>
        </w:tc>
        <w:tc>
          <w:tcPr>
            <w:tcW w:type="dxa" w:w="2088"/>
            <w:shd w:fill="102A56"/>
            <w:vAlign w:val="center"/>
            <w:tcMar>
              <w:top w:w="90" w:type="dxa"/>
              <w:start w:w="110" w:type="dxa"/>
              <w:bottom w:w="90" w:type="dxa"/>
              <w:end w:w="110" w:type="dxa"/>
            </w:tcMar>
          </w:tcPr>
          <w:p>
            <w:r>
              <w:rPr>
                <w:b/>
                <w:color w:val="FFFFFF"/>
                <w:sz w:val="17"/>
              </w:rPr>
              <w:t>POC output</w:t>
            </w:r>
          </w:p>
        </w:tc>
      </w:tr>
      <w:tr>
        <w:tc>
          <w:tcPr>
            <w:tcW w:type="dxa" w:w="1008"/>
            <w:vAlign w:val="center"/>
            <w:tcMar>
              <w:top w:w="90" w:type="dxa"/>
              <w:start w:w="110" w:type="dxa"/>
              <w:bottom w:w="90" w:type="dxa"/>
              <w:end w:w="110" w:type="dxa"/>
            </w:tcMar>
          </w:tcPr>
          <w:p>
            <w:r>
              <w:rPr>
                <w:sz w:val="17"/>
              </w:rPr>
              <w:t>1. Diagnose</w:t>
            </w:r>
          </w:p>
        </w:tc>
        <w:tc>
          <w:tcPr>
            <w:tcW w:type="dxa" w:w="1944"/>
            <w:vAlign w:val="center"/>
            <w:tcMar>
              <w:top w:w="90" w:type="dxa"/>
              <w:start w:w="110" w:type="dxa"/>
              <w:bottom w:w="90" w:type="dxa"/>
              <w:end w:w="110" w:type="dxa"/>
            </w:tcMar>
          </w:tcPr>
          <w:p>
            <w:r>
              <w:rPr>
                <w:sz w:val="17"/>
              </w:rPr>
              <w:t>AI systems, agents, models, workflows and data sources inventory</w:t>
            </w:r>
          </w:p>
        </w:tc>
        <w:tc>
          <w:tcPr>
            <w:tcW w:type="dxa" w:w="3168"/>
            <w:vAlign w:val="center"/>
            <w:tcMar>
              <w:top w:w="90" w:type="dxa"/>
              <w:start w:w="110" w:type="dxa"/>
              <w:bottom w:w="90" w:type="dxa"/>
              <w:end w:w="110" w:type="dxa"/>
            </w:tcMar>
          </w:tcPr>
          <w:p>
            <w:r>
              <w:rPr>
                <w:sz w:val="17"/>
              </w:rPr>
              <w:t>Captures intended purpose, systems, roles, data classes, actions and existing controls</w:t>
            </w:r>
          </w:p>
        </w:tc>
        <w:tc>
          <w:tcPr>
            <w:tcW w:type="dxa" w:w="2088"/>
            <w:vAlign w:val="center"/>
            <w:tcMar>
              <w:top w:w="90" w:type="dxa"/>
              <w:start w:w="110" w:type="dxa"/>
              <w:bottom w:w="90" w:type="dxa"/>
              <w:end w:w="110" w:type="dxa"/>
            </w:tcMar>
          </w:tcPr>
          <w:p>
            <w:r>
              <w:rPr>
                <w:sz w:val="17"/>
              </w:rPr>
              <w:t>Architecture Inventory</w:t>
            </w:r>
          </w:p>
        </w:tc>
      </w:tr>
      <w:tr>
        <w:tc>
          <w:tcPr>
            <w:tcW w:type="dxa" w:w="1008"/>
            <w:vAlign w:val="center"/>
            <w:tcMar>
              <w:top w:w="90" w:type="dxa"/>
              <w:start w:w="110" w:type="dxa"/>
              <w:bottom w:w="90" w:type="dxa"/>
              <w:end w:w="110" w:type="dxa"/>
            </w:tcMar>
          </w:tcPr>
          <w:p>
            <w:r>
              <w:rPr>
                <w:sz w:val="17"/>
              </w:rPr>
              <w:t>2. Classify</w:t>
            </w:r>
          </w:p>
        </w:tc>
        <w:tc>
          <w:tcPr>
            <w:tcW w:type="dxa" w:w="1944"/>
            <w:vAlign w:val="center"/>
            <w:tcMar>
              <w:top w:w="90" w:type="dxa"/>
              <w:start w:w="110" w:type="dxa"/>
              <w:bottom w:w="90" w:type="dxa"/>
              <w:end w:w="110" w:type="dxa"/>
            </w:tcMar>
          </w:tcPr>
          <w:p>
            <w:r>
              <w:rPr>
                <w:sz w:val="17"/>
              </w:rPr>
              <w:t>Provider/deployer role, use-case risk and human impact</w:t>
            </w:r>
          </w:p>
        </w:tc>
        <w:tc>
          <w:tcPr>
            <w:tcW w:type="dxa" w:w="3168"/>
            <w:vAlign w:val="center"/>
            <w:tcMar>
              <w:top w:w="90" w:type="dxa"/>
              <w:start w:w="110" w:type="dxa"/>
              <w:bottom w:w="90" w:type="dxa"/>
              <w:end w:w="110" w:type="dxa"/>
            </w:tcMar>
          </w:tcPr>
          <w:p>
            <w:r>
              <w:rPr>
                <w:sz w:val="17"/>
              </w:rPr>
              <w:t>Maps use case against risk taxonomy and applicable policy packs</w:t>
            </w:r>
          </w:p>
        </w:tc>
        <w:tc>
          <w:tcPr>
            <w:tcW w:type="dxa" w:w="2088"/>
            <w:vAlign w:val="center"/>
            <w:tcMar>
              <w:top w:w="90" w:type="dxa"/>
              <w:start w:w="110" w:type="dxa"/>
              <w:bottom w:w="90" w:type="dxa"/>
              <w:end w:w="110" w:type="dxa"/>
            </w:tcMar>
          </w:tcPr>
          <w:p>
            <w:r>
              <w:rPr>
                <w:sz w:val="17"/>
              </w:rPr>
              <w:t>Risk &amp; Role Classification</w:t>
            </w:r>
          </w:p>
        </w:tc>
      </w:tr>
      <w:tr>
        <w:tc>
          <w:tcPr>
            <w:tcW w:type="dxa" w:w="1008"/>
            <w:vAlign w:val="center"/>
            <w:tcMar>
              <w:top w:w="90" w:type="dxa"/>
              <w:start w:w="110" w:type="dxa"/>
              <w:bottom w:w="90" w:type="dxa"/>
              <w:end w:w="110" w:type="dxa"/>
            </w:tcMar>
          </w:tcPr>
          <w:p>
            <w:r>
              <w:rPr>
                <w:sz w:val="17"/>
              </w:rPr>
              <w:t>3. Gap assess</w:t>
            </w:r>
          </w:p>
        </w:tc>
        <w:tc>
          <w:tcPr>
            <w:tcW w:type="dxa" w:w="1944"/>
            <w:vAlign w:val="center"/>
            <w:tcMar>
              <w:top w:w="90" w:type="dxa"/>
              <w:start w:w="110" w:type="dxa"/>
              <w:bottom w:w="90" w:type="dxa"/>
              <w:end w:w="110" w:type="dxa"/>
            </w:tcMar>
          </w:tcPr>
          <w:p>
            <w:r>
              <w:rPr>
                <w:sz w:val="17"/>
              </w:rPr>
              <w:t>Readiness score and control gaps</w:t>
            </w:r>
          </w:p>
        </w:tc>
        <w:tc>
          <w:tcPr>
            <w:tcW w:type="dxa" w:w="3168"/>
            <w:vAlign w:val="center"/>
            <w:tcMar>
              <w:top w:w="90" w:type="dxa"/>
              <w:start w:w="110" w:type="dxa"/>
              <w:bottom w:w="90" w:type="dxa"/>
              <w:end w:w="110" w:type="dxa"/>
            </w:tcMar>
          </w:tcPr>
          <w:p>
            <w:r>
              <w:rPr>
                <w:sz w:val="17"/>
              </w:rPr>
              <w:t>Evaluates inventory/control evidence against control catalogue</w:t>
            </w:r>
          </w:p>
        </w:tc>
        <w:tc>
          <w:tcPr>
            <w:tcW w:type="dxa" w:w="2088"/>
            <w:vAlign w:val="center"/>
            <w:tcMar>
              <w:top w:w="90" w:type="dxa"/>
              <w:start w:w="110" w:type="dxa"/>
              <w:bottom w:w="90" w:type="dxa"/>
              <w:end w:w="110" w:type="dxa"/>
            </w:tcMar>
          </w:tcPr>
          <w:p>
            <w:r>
              <w:rPr>
                <w:sz w:val="17"/>
              </w:rPr>
              <w:t>Readiness Gap Matrix</w:t>
            </w:r>
          </w:p>
        </w:tc>
      </w:tr>
      <w:tr>
        <w:tc>
          <w:tcPr>
            <w:tcW w:type="dxa" w:w="1008"/>
            <w:vAlign w:val="center"/>
            <w:tcMar>
              <w:top w:w="90" w:type="dxa"/>
              <w:start w:w="110" w:type="dxa"/>
              <w:bottom w:w="90" w:type="dxa"/>
              <w:end w:w="110" w:type="dxa"/>
            </w:tcMar>
          </w:tcPr>
          <w:p>
            <w:r>
              <w:rPr>
                <w:sz w:val="17"/>
              </w:rPr>
              <w:t>4. Report</w:t>
            </w:r>
          </w:p>
        </w:tc>
        <w:tc>
          <w:tcPr>
            <w:tcW w:type="dxa" w:w="1944"/>
            <w:vAlign w:val="center"/>
            <w:tcMar>
              <w:top w:w="90" w:type="dxa"/>
              <w:start w:w="110" w:type="dxa"/>
              <w:bottom w:w="90" w:type="dxa"/>
              <w:end w:w="110" w:type="dxa"/>
            </w:tcMar>
          </w:tcPr>
          <w:p>
            <w:r>
              <w:rPr>
                <w:sz w:val="17"/>
              </w:rPr>
              <w:t>Executive and technical findings</w:t>
            </w:r>
          </w:p>
        </w:tc>
        <w:tc>
          <w:tcPr>
            <w:tcW w:type="dxa" w:w="3168"/>
            <w:vAlign w:val="center"/>
            <w:tcMar>
              <w:top w:w="90" w:type="dxa"/>
              <w:start w:w="110" w:type="dxa"/>
              <w:bottom w:w="90" w:type="dxa"/>
              <w:end w:w="110" w:type="dxa"/>
            </w:tcMar>
          </w:tcPr>
          <w:p>
            <w:r>
              <w:rPr>
                <w:sz w:val="17"/>
              </w:rPr>
              <w:t>Generates traceable report from captured facts and evidence</w:t>
            </w:r>
          </w:p>
        </w:tc>
        <w:tc>
          <w:tcPr>
            <w:tcW w:type="dxa" w:w="2088"/>
            <w:vAlign w:val="center"/>
            <w:tcMar>
              <w:top w:w="90" w:type="dxa"/>
              <w:start w:w="110" w:type="dxa"/>
              <w:bottom w:w="90" w:type="dxa"/>
              <w:end w:w="110" w:type="dxa"/>
            </w:tcMar>
          </w:tcPr>
          <w:p>
            <w:r>
              <w:rPr>
                <w:sz w:val="17"/>
              </w:rPr>
              <w:t>Diagnosis / Mitigation Report</w:t>
            </w:r>
          </w:p>
        </w:tc>
      </w:tr>
      <w:tr>
        <w:tc>
          <w:tcPr>
            <w:tcW w:type="dxa" w:w="1008"/>
            <w:vAlign w:val="center"/>
            <w:tcMar>
              <w:top w:w="90" w:type="dxa"/>
              <w:start w:w="110" w:type="dxa"/>
              <w:bottom w:w="90" w:type="dxa"/>
              <w:end w:w="110" w:type="dxa"/>
            </w:tcMar>
          </w:tcPr>
          <w:p>
            <w:r>
              <w:rPr>
                <w:sz w:val="17"/>
              </w:rPr>
              <w:t>5. Scope POC</w:t>
            </w:r>
          </w:p>
        </w:tc>
        <w:tc>
          <w:tcPr>
            <w:tcW w:type="dxa" w:w="1944"/>
            <w:vAlign w:val="center"/>
            <w:tcMar>
              <w:top w:w="90" w:type="dxa"/>
              <w:start w:w="110" w:type="dxa"/>
              <w:bottom w:w="90" w:type="dxa"/>
              <w:end w:w="110" w:type="dxa"/>
            </w:tcMar>
          </w:tcPr>
          <w:p>
            <w:r>
              <w:rPr>
                <w:sz w:val="17"/>
              </w:rPr>
              <w:t>Selected workflow and success criteria</w:t>
            </w:r>
          </w:p>
        </w:tc>
        <w:tc>
          <w:tcPr>
            <w:tcW w:type="dxa" w:w="3168"/>
            <w:vAlign w:val="center"/>
            <w:tcMar>
              <w:top w:w="90" w:type="dxa"/>
              <w:start w:w="110" w:type="dxa"/>
              <w:bottom w:w="90" w:type="dxa"/>
              <w:end w:w="110" w:type="dxa"/>
            </w:tcMar>
          </w:tcPr>
          <w:p>
            <w:r>
              <w:rPr>
                <w:sz w:val="17"/>
              </w:rPr>
              <w:t>Activates Workflow Pack, datasets, models, policies and approvals</w:t>
            </w:r>
          </w:p>
        </w:tc>
        <w:tc>
          <w:tcPr>
            <w:tcW w:type="dxa" w:w="2088"/>
            <w:vAlign w:val="center"/>
            <w:tcMar>
              <w:top w:w="90" w:type="dxa"/>
              <w:start w:w="110" w:type="dxa"/>
              <w:bottom w:w="90" w:type="dxa"/>
              <w:end w:w="110" w:type="dxa"/>
            </w:tcMar>
          </w:tcPr>
          <w:p>
            <w:r>
              <w:rPr>
                <w:sz w:val="17"/>
              </w:rPr>
              <w:t>POC Plan</w:t>
            </w:r>
          </w:p>
        </w:tc>
      </w:tr>
      <w:tr>
        <w:tc>
          <w:tcPr>
            <w:tcW w:type="dxa" w:w="1008"/>
            <w:vAlign w:val="center"/>
            <w:tcMar>
              <w:top w:w="90" w:type="dxa"/>
              <w:start w:w="110" w:type="dxa"/>
              <w:bottom w:w="90" w:type="dxa"/>
              <w:end w:w="110" w:type="dxa"/>
            </w:tcMar>
          </w:tcPr>
          <w:p>
            <w:r>
              <w:rPr>
                <w:sz w:val="17"/>
              </w:rPr>
              <w:t>6. Run governed AI</w:t>
            </w:r>
          </w:p>
        </w:tc>
        <w:tc>
          <w:tcPr>
            <w:tcW w:type="dxa" w:w="1944"/>
            <w:vAlign w:val="center"/>
            <w:tcMar>
              <w:top w:w="90" w:type="dxa"/>
              <w:start w:w="110" w:type="dxa"/>
              <w:bottom w:w="90" w:type="dxa"/>
              <w:end w:w="110" w:type="dxa"/>
            </w:tcMar>
          </w:tcPr>
          <w:p>
            <w:r>
              <w:rPr>
                <w:sz w:val="17"/>
              </w:rPr>
              <w:t>Agents recommend and prepare actions</w:t>
            </w:r>
          </w:p>
        </w:tc>
        <w:tc>
          <w:tcPr>
            <w:tcW w:type="dxa" w:w="3168"/>
            <w:vAlign w:val="center"/>
            <w:tcMar>
              <w:top w:w="90" w:type="dxa"/>
              <w:start w:w="110" w:type="dxa"/>
              <w:bottom w:w="90" w:type="dxa"/>
              <w:end w:w="110" w:type="dxa"/>
            </w:tcMar>
          </w:tcPr>
          <w:p>
            <w:r>
              <w:rPr>
                <w:sz w:val="17"/>
              </w:rPr>
              <w:t>Orchestrates agents through policy/authority/HITL gates</w:t>
            </w:r>
          </w:p>
        </w:tc>
        <w:tc>
          <w:tcPr>
            <w:tcW w:type="dxa" w:w="2088"/>
            <w:vAlign w:val="center"/>
            <w:tcMar>
              <w:top w:w="90" w:type="dxa"/>
              <w:start w:w="110" w:type="dxa"/>
              <w:bottom w:w="90" w:type="dxa"/>
              <w:end w:w="110" w:type="dxa"/>
            </w:tcMar>
          </w:tcPr>
          <w:p>
            <w:r>
              <w:rPr>
                <w:sz w:val="17"/>
              </w:rPr>
              <w:t>Governed runtime traces</w:t>
            </w:r>
          </w:p>
        </w:tc>
      </w:tr>
      <w:tr>
        <w:tc>
          <w:tcPr>
            <w:tcW w:type="dxa" w:w="1008"/>
            <w:vAlign w:val="center"/>
            <w:tcMar>
              <w:top w:w="90" w:type="dxa"/>
              <w:start w:w="110" w:type="dxa"/>
              <w:bottom w:w="90" w:type="dxa"/>
              <w:end w:w="110" w:type="dxa"/>
            </w:tcMar>
          </w:tcPr>
          <w:p>
            <w:r>
              <w:rPr>
                <w:sz w:val="17"/>
              </w:rPr>
              <w:t>7. Prove</w:t>
            </w:r>
          </w:p>
        </w:tc>
        <w:tc>
          <w:tcPr>
            <w:tcW w:type="dxa" w:w="1944"/>
            <w:vAlign w:val="center"/>
            <w:tcMar>
              <w:top w:w="90" w:type="dxa"/>
              <w:start w:w="110" w:type="dxa"/>
              <w:bottom w:w="90" w:type="dxa"/>
              <w:end w:w="110" w:type="dxa"/>
            </w:tcMar>
          </w:tcPr>
          <w:p>
            <w:r>
              <w:rPr>
                <w:sz w:val="17"/>
              </w:rPr>
              <w:t>View/verify evidence</w:t>
            </w:r>
          </w:p>
        </w:tc>
        <w:tc>
          <w:tcPr>
            <w:tcW w:type="dxa" w:w="3168"/>
            <w:vAlign w:val="center"/>
            <w:tcMar>
              <w:top w:w="90" w:type="dxa"/>
              <w:start w:w="110" w:type="dxa"/>
              <w:bottom w:w="90" w:type="dxa"/>
              <w:end w:w="110" w:type="dxa"/>
            </w:tcMar>
          </w:tcPr>
          <w:p>
            <w:r>
              <w:rPr>
                <w:sz w:val="17"/>
              </w:rPr>
              <w:t>Signs/chains evidence and captures source-system acknowledgement</w:t>
            </w:r>
          </w:p>
        </w:tc>
        <w:tc>
          <w:tcPr>
            <w:tcW w:type="dxa" w:w="2088"/>
            <w:vAlign w:val="center"/>
            <w:tcMar>
              <w:top w:w="90" w:type="dxa"/>
              <w:start w:w="110" w:type="dxa"/>
              <w:bottom w:w="90" w:type="dxa"/>
              <w:end w:w="110" w:type="dxa"/>
            </w:tcMar>
          </w:tcPr>
          <w:p>
            <w:r>
              <w:rPr>
                <w:sz w:val="17"/>
              </w:rPr>
              <w:t>Evidence Bundle</w:t>
            </w:r>
          </w:p>
        </w:tc>
      </w:tr>
      <w:tr>
        <w:tc>
          <w:tcPr>
            <w:tcW w:type="dxa" w:w="1008"/>
            <w:vAlign w:val="center"/>
            <w:tcMar>
              <w:top w:w="90" w:type="dxa"/>
              <w:start w:w="110" w:type="dxa"/>
              <w:bottom w:w="90" w:type="dxa"/>
              <w:end w:w="110" w:type="dxa"/>
            </w:tcMar>
          </w:tcPr>
          <w:p>
            <w:r>
              <w:rPr>
                <w:sz w:val="17"/>
              </w:rPr>
              <w:t>8. Maintain readiness</w:t>
            </w:r>
          </w:p>
        </w:tc>
        <w:tc>
          <w:tcPr>
            <w:tcW w:type="dxa" w:w="1944"/>
            <w:vAlign w:val="center"/>
            <w:tcMar>
              <w:top w:w="90" w:type="dxa"/>
              <w:start w:w="110" w:type="dxa"/>
              <w:bottom w:w="90" w:type="dxa"/>
              <w:end w:w="110" w:type="dxa"/>
            </w:tcMar>
          </w:tcPr>
          <w:p>
            <w:r>
              <w:rPr>
                <w:sz w:val="17"/>
              </w:rPr>
              <w:t>Continuous dashboard and reports</w:t>
            </w:r>
          </w:p>
        </w:tc>
        <w:tc>
          <w:tcPr>
            <w:tcW w:type="dxa" w:w="3168"/>
            <w:vAlign w:val="center"/>
            <w:tcMar>
              <w:top w:w="90" w:type="dxa"/>
              <w:start w:w="110" w:type="dxa"/>
              <w:bottom w:w="90" w:type="dxa"/>
              <w:end w:w="110" w:type="dxa"/>
            </w:tcMar>
          </w:tcPr>
          <w:p>
            <w:r>
              <w:rPr>
                <w:sz w:val="17"/>
              </w:rPr>
              <w:t>Refreshes control status from runtime evidence and periodic assessments</w:t>
            </w:r>
          </w:p>
        </w:tc>
        <w:tc>
          <w:tcPr>
            <w:tcW w:type="dxa" w:w="2088"/>
            <w:vAlign w:val="center"/>
            <w:tcMar>
              <w:top w:w="90" w:type="dxa"/>
              <w:start w:w="110" w:type="dxa"/>
              <w:bottom w:w="90" w:type="dxa"/>
              <w:end w:w="110" w:type="dxa"/>
            </w:tcMar>
          </w:tcPr>
          <w:p>
            <w:r>
              <w:rPr>
                <w:sz w:val="17"/>
              </w:rPr>
              <w:t>Readiness / Audit exports</w:t>
            </w:r>
          </w:p>
        </w:tc>
      </w:tr>
    </w:tbl>
    <w:p/>
    <w:p>
      <w:pPr>
        <w:pStyle w:val="Heading2"/>
      </w:pPr>
      <w:r>
        <w:t>2.1 Golden client demo</w:t>
      </w:r>
    </w:p>
    <w:p>
      <w:pPr>
        <w:pStyle w:val="ListNumber"/>
      </w:pPr>
      <w:r>
        <w:t>Create or select a demo tenant and show the tenant/environment context.</w:t>
      </w:r>
    </w:p>
    <w:p>
      <w:pPr>
        <w:pStyle w:val="ListNumber"/>
      </w:pPr>
      <w:r>
        <w:t>Open AI Architecture Diagnosis and register one AI/agent use case.</w:t>
      </w:r>
    </w:p>
    <w:p>
      <w:pPr>
        <w:pStyle w:val="ListNumber"/>
      </w:pPr>
      <w:r>
        <w:t>Capture purpose, model, datasets, tools, human users, automated actions and existing controls.</w:t>
      </w:r>
    </w:p>
    <w:p>
      <w:pPr>
        <w:pStyle w:val="ListNumber"/>
      </w:pPr>
      <w:r>
        <w:t>Run Risk &amp; Role Classification; show why a control or obligation is marked applicable, not applicable or needs review.</w:t>
      </w:r>
    </w:p>
    <w:p>
      <w:pPr>
        <w:pStyle w:val="ListNumber"/>
      </w:pPr>
      <w:r>
        <w:t>Generate a Diagnosis &amp; Readiness Report with an evidence-linked gap matrix.</w:t>
      </w:r>
    </w:p>
    <w:p>
      <w:pPr>
        <w:pStyle w:val="ListNumber"/>
      </w:pPr>
      <w:r>
        <w:t>Click “Launch POC” for LedgerSight AR/Cash and activate the governed workflow pack.</w:t>
      </w:r>
    </w:p>
    <w:p>
      <w:pPr>
        <w:pStyle w:val="ListNumber"/>
      </w:pPr>
      <w:r>
        <w:t>Ingest synthetic SAP AR, bank receipt and remittance data.</w:t>
      </w:r>
    </w:p>
    <w:p>
      <w:pPr>
        <w:pStyle w:val="ListNumber"/>
      </w:pPr>
      <w:r>
        <w:t>Demonstrate clean match, ambiguous match, high-value escalation, malicious prompt text and duplicate action.</w:t>
      </w:r>
    </w:p>
    <w:p>
      <w:pPr>
        <w:pStyle w:val="ListNumber"/>
      </w:pPr>
      <w:r>
        <w:t>Approve one consequential action through the Controller role.</w:t>
      </w:r>
    </w:p>
    <w:p>
      <w:pPr>
        <w:pStyle w:val="ListNumber"/>
      </w:pPr>
      <w:r>
        <w:t>Execute only through the Execution Gateway, capture Mock SAP acknowledgement and finalize signed evidence.</w:t>
      </w:r>
    </w:p>
    <w:p>
      <w:pPr>
        <w:pStyle w:val="ListNumber"/>
      </w:pPr>
      <w:r>
        <w:t>Open the same transaction in Evidence and click Verify.</w:t>
      </w:r>
    </w:p>
    <w:p>
      <w:pPr>
        <w:pStyle w:val="ListNumber"/>
      </w:pPr>
      <w:r>
        <w:t>Return to Readiness dashboard and show how runtime evidence closes or strengthens relevant control evidence.</w:t>
      </w:r>
    </w:p>
    <w:p>
      <w:r>
        <w:br w:type="page"/>
      </w:r>
    </w:p>
    <w:p>
      <w:pPr>
        <w:pStyle w:val="Heading1"/>
      </w:pPr>
      <w:r>
        <w:t>3. End-to-End Logical Architecture</w:t>
      </w:r>
    </w:p>
    <w:p>
      <w:r>
        <w:t>The architecture is divided into experience, identity/context, connection/data, control plane, orchestration, runtime lanes, governance gate, execution, Evidence Fabric, observability and readiness/reporting.</w:t>
      </w:r>
    </w:p>
    <w:p>
      <w:pPr>
        <w:jc w:val="center"/>
      </w:pPr>
      <w:r>
        <w:rPr>
          <w:b/>
          <w:color w:val="102A56"/>
          <w:sz w:val="21"/>
        </w:rPr>
        <w:t>Figure 1 - TrustOps End-to-End POC → Production → EU AI Act Readiness</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wide_infographic_diagram_on_a_white_background_w.png"/>
                    <pic:cNvPicPr/>
                  </pic:nvPicPr>
                  <pic:blipFill>
                    <a:blip r:embed="rId9"/>
                    <a:stretch>
                      <a:fillRect/>
                    </a:stretch>
                  </pic:blipFill>
                  <pic:spPr>
                    <a:xfrm>
                      <a:off x="0" y="0"/>
                      <a:ext cx="6309360" cy="4206240"/>
                    </a:xfrm>
                    <a:prstGeom prst="rect"/>
                  </pic:spPr>
                </pic:pic>
              </a:graphicData>
            </a:graphic>
          </wp:inline>
        </w:drawing>
      </w:r>
    </w:p>
    <w:p>
      <w:pPr>
        <w:pStyle w:val="Small"/>
        <w:jc w:val="center"/>
      </w:pPr>
      <w:r>
        <w:t>Reference architecture for engineering and client walkthrough.</w:t>
      </w:r>
    </w:p>
    <w:p>
      <w:pPr>
        <w:pStyle w:val="Heading2"/>
      </w:pPr>
      <w:r>
        <w:t>3.1 Architectural invariants</w:t>
      </w:r>
    </w:p>
    <w:tbl>
      <w:tblPr>
        <w:tblStyle w:val="TableGrid"/>
        <w:tblW w:type="auto" w:w="0"/>
        <w:jc w:val="center"/>
        <w:tblLook w:firstColumn="1" w:firstRow="1" w:lastColumn="0" w:lastRow="0" w:noHBand="0" w:noVBand="1" w:val="04A0"/>
      </w:tblPr>
      <w:tblGrid>
        <w:gridCol w:w="5083"/>
        <w:gridCol w:w="5083"/>
      </w:tblGrid>
      <w:tr>
        <w:tc>
          <w:tcPr>
            <w:tcW w:type="dxa" w:w="1944"/>
            <w:shd w:fill="102A56"/>
            <w:vAlign w:val="center"/>
            <w:tcMar>
              <w:top w:w="90" w:type="dxa"/>
              <w:start w:w="110" w:type="dxa"/>
              <w:bottom w:w="90" w:type="dxa"/>
              <w:end w:w="110" w:type="dxa"/>
            </w:tcMar>
          </w:tcPr>
          <w:p>
            <w:r>
              <w:rPr>
                <w:b/>
                <w:color w:val="FFFFFF"/>
                <w:sz w:val="17"/>
              </w:rPr>
              <w:t>Invariant</w:t>
            </w:r>
          </w:p>
        </w:tc>
        <w:tc>
          <w:tcPr>
            <w:tcW w:type="dxa" w:w="7848"/>
            <w:shd w:fill="102A56"/>
            <w:vAlign w:val="center"/>
            <w:tcMar>
              <w:top w:w="90" w:type="dxa"/>
              <w:start w:w="110" w:type="dxa"/>
              <w:bottom w:w="90" w:type="dxa"/>
              <w:end w:w="110" w:type="dxa"/>
            </w:tcMar>
          </w:tcPr>
          <w:p>
            <w:r>
              <w:rPr>
                <w:b/>
                <w:color w:val="FFFFFF"/>
                <w:sz w:val="17"/>
              </w:rPr>
              <w:t>Engineering rule</w:t>
            </w:r>
          </w:p>
        </w:tc>
      </w:tr>
      <w:tr>
        <w:tc>
          <w:tcPr>
            <w:tcW w:type="dxa" w:w="1944"/>
            <w:vAlign w:val="center"/>
            <w:tcMar>
              <w:top w:w="90" w:type="dxa"/>
              <w:start w:w="110" w:type="dxa"/>
              <w:bottom w:w="90" w:type="dxa"/>
              <w:end w:w="110" w:type="dxa"/>
            </w:tcMar>
          </w:tcPr>
          <w:p>
            <w:r>
              <w:rPr>
                <w:sz w:val="17"/>
              </w:rPr>
              <w:t>Model agnostic</w:t>
            </w:r>
          </w:p>
        </w:tc>
        <w:tc>
          <w:tcPr>
            <w:tcW w:type="dxa" w:w="7848"/>
            <w:vAlign w:val="center"/>
            <w:tcMar>
              <w:top w:w="90" w:type="dxa"/>
              <w:start w:w="110" w:type="dxa"/>
              <w:bottom w:w="90" w:type="dxa"/>
              <w:end w:w="110" w:type="dxa"/>
            </w:tcMar>
          </w:tcPr>
          <w:p>
            <w:r>
              <w:rPr>
                <w:sz w:val="17"/>
              </w:rPr>
              <w:t>Agent code requests a logical model route; no control depends on a single provider.</w:t>
            </w:r>
          </w:p>
        </w:tc>
      </w:tr>
      <w:tr>
        <w:tc>
          <w:tcPr>
            <w:tcW w:type="dxa" w:w="1944"/>
            <w:vAlign w:val="center"/>
            <w:tcMar>
              <w:top w:w="90" w:type="dxa"/>
              <w:start w:w="110" w:type="dxa"/>
              <w:bottom w:w="90" w:type="dxa"/>
              <w:end w:w="110" w:type="dxa"/>
            </w:tcMar>
          </w:tcPr>
          <w:p>
            <w:r>
              <w:rPr>
                <w:sz w:val="17"/>
              </w:rPr>
              <w:t>Deterministic authority</w:t>
            </w:r>
          </w:p>
        </w:tc>
        <w:tc>
          <w:tcPr>
            <w:tcW w:type="dxa" w:w="7848"/>
            <w:vAlign w:val="center"/>
            <w:tcMar>
              <w:top w:w="90" w:type="dxa"/>
              <w:start w:w="110" w:type="dxa"/>
              <w:bottom w:w="90" w:type="dxa"/>
              <w:end w:w="110" w:type="dxa"/>
            </w:tcMar>
          </w:tcPr>
          <w:p>
            <w:r>
              <w:rPr>
                <w:sz w:val="17"/>
              </w:rPr>
              <w:t>LLMs can recommend or prepare; deterministic policy/authority services grant or deny authority.</w:t>
            </w:r>
          </w:p>
        </w:tc>
      </w:tr>
      <w:tr>
        <w:tc>
          <w:tcPr>
            <w:tcW w:type="dxa" w:w="1944"/>
            <w:vAlign w:val="center"/>
            <w:tcMar>
              <w:top w:w="90" w:type="dxa"/>
              <w:start w:w="110" w:type="dxa"/>
              <w:bottom w:w="90" w:type="dxa"/>
              <w:end w:w="110" w:type="dxa"/>
            </w:tcMar>
          </w:tcPr>
          <w:p>
            <w:r>
              <w:rPr>
                <w:sz w:val="17"/>
              </w:rPr>
              <w:t>Central orchestration</w:t>
            </w:r>
          </w:p>
        </w:tc>
        <w:tc>
          <w:tcPr>
            <w:tcW w:type="dxa" w:w="7848"/>
            <w:vAlign w:val="center"/>
            <w:tcMar>
              <w:top w:w="90" w:type="dxa"/>
              <w:start w:w="110" w:type="dxa"/>
              <w:bottom w:w="90" w:type="dxa"/>
              <w:end w:w="110" w:type="dxa"/>
            </w:tcMar>
          </w:tcPr>
          <w:p>
            <w:r>
              <w:rPr>
                <w:sz w:val="17"/>
              </w:rPr>
              <w:t>Agents do not directly call one another in the default design.</w:t>
            </w:r>
          </w:p>
        </w:tc>
      </w:tr>
      <w:tr>
        <w:tc>
          <w:tcPr>
            <w:tcW w:type="dxa" w:w="1944"/>
            <w:vAlign w:val="center"/>
            <w:tcMar>
              <w:top w:w="90" w:type="dxa"/>
              <w:start w:w="110" w:type="dxa"/>
              <w:bottom w:w="90" w:type="dxa"/>
              <w:end w:w="110" w:type="dxa"/>
            </w:tcMar>
          </w:tcPr>
          <w:p>
            <w:r>
              <w:rPr>
                <w:sz w:val="17"/>
              </w:rPr>
              <w:t>Evidence first</w:t>
            </w:r>
          </w:p>
        </w:tc>
        <w:tc>
          <w:tcPr>
            <w:tcW w:type="dxa" w:w="7848"/>
            <w:vAlign w:val="center"/>
            <w:tcMar>
              <w:top w:w="90" w:type="dxa"/>
              <w:start w:w="110" w:type="dxa"/>
              <w:bottom w:w="90" w:type="dxa"/>
              <w:end w:w="110" w:type="dxa"/>
            </w:tcMar>
          </w:tcPr>
          <w:p>
            <w:r>
              <w:rPr>
                <w:sz w:val="17"/>
              </w:rPr>
              <w:t>A material side effect cannot execute until evidence pre-commit succeeds.</w:t>
            </w:r>
          </w:p>
        </w:tc>
      </w:tr>
      <w:tr>
        <w:tc>
          <w:tcPr>
            <w:tcW w:type="dxa" w:w="1944"/>
            <w:vAlign w:val="center"/>
            <w:tcMar>
              <w:top w:w="90" w:type="dxa"/>
              <w:start w:w="110" w:type="dxa"/>
              <w:bottom w:w="90" w:type="dxa"/>
              <w:end w:w="110" w:type="dxa"/>
            </w:tcMar>
          </w:tcPr>
          <w:p>
            <w:r>
              <w:rPr>
                <w:sz w:val="17"/>
              </w:rPr>
              <w:t>Least privilege</w:t>
            </w:r>
          </w:p>
        </w:tc>
        <w:tc>
          <w:tcPr>
            <w:tcW w:type="dxa" w:w="7848"/>
            <w:vAlign w:val="center"/>
            <w:tcMar>
              <w:top w:w="90" w:type="dxa"/>
              <w:start w:w="110" w:type="dxa"/>
              <w:bottom w:w="90" w:type="dxa"/>
              <w:end w:w="110" w:type="dxa"/>
            </w:tcMar>
          </w:tcPr>
          <w:p>
            <w:r>
              <w:rPr>
                <w:sz w:val="17"/>
              </w:rPr>
              <w:t>Each connector, agent, dataset and tool is explicitly scoped.</w:t>
            </w:r>
          </w:p>
        </w:tc>
      </w:tr>
      <w:tr>
        <w:tc>
          <w:tcPr>
            <w:tcW w:type="dxa" w:w="1944"/>
            <w:vAlign w:val="center"/>
            <w:tcMar>
              <w:top w:w="90" w:type="dxa"/>
              <w:start w:w="110" w:type="dxa"/>
              <w:bottom w:w="90" w:type="dxa"/>
              <w:end w:w="110" w:type="dxa"/>
            </w:tcMar>
          </w:tcPr>
          <w:p>
            <w:r>
              <w:rPr>
                <w:sz w:val="17"/>
              </w:rPr>
              <w:t>Read first</w:t>
            </w:r>
          </w:p>
        </w:tc>
        <w:tc>
          <w:tcPr>
            <w:tcW w:type="dxa" w:w="7848"/>
            <w:vAlign w:val="center"/>
            <w:tcMar>
              <w:top w:w="90" w:type="dxa"/>
              <w:start w:w="110" w:type="dxa"/>
              <w:bottom w:w="90" w:type="dxa"/>
              <w:end w:w="110" w:type="dxa"/>
            </w:tcMar>
          </w:tcPr>
          <w:p>
            <w:r>
              <w:rPr>
                <w:sz w:val="17"/>
              </w:rPr>
              <w:t>POC starts read-only; writes are optional, separately scoped and idempotent.</w:t>
            </w:r>
          </w:p>
        </w:tc>
      </w:tr>
      <w:tr>
        <w:tc>
          <w:tcPr>
            <w:tcW w:type="dxa" w:w="1944"/>
            <w:vAlign w:val="center"/>
            <w:tcMar>
              <w:top w:w="90" w:type="dxa"/>
              <w:start w:w="110" w:type="dxa"/>
              <w:bottom w:w="90" w:type="dxa"/>
              <w:end w:w="110" w:type="dxa"/>
            </w:tcMar>
          </w:tcPr>
          <w:p>
            <w:r>
              <w:rPr>
                <w:sz w:val="17"/>
              </w:rPr>
              <w:t>Tenant isolation</w:t>
            </w:r>
          </w:p>
        </w:tc>
        <w:tc>
          <w:tcPr>
            <w:tcW w:type="dxa" w:w="7848"/>
            <w:vAlign w:val="center"/>
            <w:tcMar>
              <w:top w:w="90" w:type="dxa"/>
              <w:start w:w="110" w:type="dxa"/>
              <w:bottom w:w="90" w:type="dxa"/>
              <w:end w:w="110" w:type="dxa"/>
            </w:tcMar>
          </w:tcPr>
          <w:p>
            <w:r>
              <w:rPr>
                <w:sz w:val="17"/>
              </w:rPr>
              <w:t>Tenant context propagates through API, workflow, storage, evidence and telemetry.</w:t>
            </w:r>
          </w:p>
        </w:tc>
      </w:tr>
      <w:tr>
        <w:tc>
          <w:tcPr>
            <w:tcW w:type="dxa" w:w="1944"/>
            <w:vAlign w:val="center"/>
            <w:tcMar>
              <w:top w:w="90" w:type="dxa"/>
              <w:start w:w="110" w:type="dxa"/>
              <w:bottom w:w="90" w:type="dxa"/>
              <w:end w:w="110" w:type="dxa"/>
            </w:tcMar>
          </w:tcPr>
          <w:p>
            <w:r>
              <w:rPr>
                <w:sz w:val="17"/>
              </w:rPr>
              <w:t>Fail closed</w:t>
            </w:r>
          </w:p>
        </w:tc>
        <w:tc>
          <w:tcPr>
            <w:tcW w:type="dxa" w:w="7848"/>
            <w:vAlign w:val="center"/>
            <w:tcMar>
              <w:top w:w="90" w:type="dxa"/>
              <w:start w:w="110" w:type="dxa"/>
              <w:bottom w:w="90" w:type="dxa"/>
              <w:end w:w="110" w:type="dxa"/>
            </w:tcMar>
          </w:tcPr>
          <w:p>
            <w:r>
              <w:rPr>
                <w:sz w:val="17"/>
              </w:rPr>
              <w:t>Unknown policy, authority, approval or evidence state escalates/denies; it does not execute.</w:t>
            </w:r>
          </w:p>
        </w:tc>
      </w:tr>
      <w:tr>
        <w:tc>
          <w:tcPr>
            <w:tcW w:type="dxa" w:w="1944"/>
            <w:vAlign w:val="center"/>
            <w:tcMar>
              <w:top w:w="90" w:type="dxa"/>
              <w:start w:w="110" w:type="dxa"/>
              <w:bottom w:w="90" w:type="dxa"/>
              <w:end w:w="110" w:type="dxa"/>
            </w:tcMar>
          </w:tcPr>
          <w:p>
            <w:r>
              <w:rPr>
                <w:sz w:val="17"/>
              </w:rPr>
              <w:t>Configure, do not fork</w:t>
            </w:r>
          </w:p>
        </w:tc>
        <w:tc>
          <w:tcPr>
            <w:tcW w:type="dxa" w:w="7848"/>
            <w:vAlign w:val="center"/>
            <w:tcMar>
              <w:top w:w="90" w:type="dxa"/>
              <w:start w:w="110" w:type="dxa"/>
              <w:bottom w:w="90" w:type="dxa"/>
              <w:end w:w="110" w:type="dxa"/>
            </w:tcMar>
          </w:tcPr>
          <w:p>
            <w:r>
              <w:rPr>
                <w:sz w:val="17"/>
              </w:rPr>
              <w:t>Customer-specific behavior belongs in Workflow Packs and tenant config unless a new reusable platform primitive is needed.</w:t>
            </w:r>
          </w:p>
        </w:tc>
      </w:tr>
      <w:tr>
        <w:tc>
          <w:tcPr>
            <w:tcW w:type="dxa" w:w="1944"/>
            <w:vAlign w:val="center"/>
            <w:tcMar>
              <w:top w:w="90" w:type="dxa"/>
              <w:start w:w="110" w:type="dxa"/>
              <w:bottom w:w="90" w:type="dxa"/>
              <w:end w:w="110" w:type="dxa"/>
            </w:tcMar>
          </w:tcPr>
          <w:p>
            <w:r>
              <w:rPr>
                <w:sz w:val="17"/>
              </w:rPr>
              <w:t>No hidden CoT</w:t>
            </w:r>
          </w:p>
        </w:tc>
        <w:tc>
          <w:tcPr>
            <w:tcW w:type="dxa" w:w="7848"/>
            <w:vAlign w:val="center"/>
            <w:tcMar>
              <w:top w:w="90" w:type="dxa"/>
              <w:start w:w="110" w:type="dxa"/>
              <w:bottom w:w="90" w:type="dxa"/>
              <w:end w:w="110" w:type="dxa"/>
            </w:tcMar>
          </w:tcPr>
          <w:p>
            <w:r>
              <w:rPr>
                <w:sz w:val="17"/>
              </w:rPr>
              <w:t>Store concise rationale, reason codes, confidence and sources, not private chain-of-thought.</w:t>
            </w:r>
          </w:p>
        </w:tc>
      </w:tr>
    </w:tbl>
    <w:p/>
    <w:p>
      <w:pPr>
        <w:pStyle w:val="Heading1"/>
      </w:pPr>
      <w:r>
        <w:t>4. POC Functional Modules</w:t>
      </w:r>
    </w:p>
    <w:p>
      <w:pPr>
        <w:pStyle w:val="Heading3"/>
      </w:pPr>
      <w:r>
        <w:t>Experience Layer</w:t>
      </w:r>
    </w:p>
    <w:p>
      <w:r>
        <w:t>Command Center; Diagnosis; Reconciliation; Exceptions; Approvals; Evidence; Readiness; Shadow ROI; Admin.</w:t>
      </w:r>
    </w:p>
    <w:p>
      <w:pPr>
        <w:pStyle w:val="Heading3"/>
      </w:pPr>
      <w:r>
        <w:t>Identity &amp; Tenant Context</w:t>
      </w:r>
    </w:p>
    <w:p>
      <w:r>
        <w:t>Cognito/OIDC/SAML-ready authentication, RBAC/ABAC, tenant/environment/entity propagation.</w:t>
      </w:r>
    </w:p>
    <w:p>
      <w:pPr>
        <w:pStyle w:val="Heading3"/>
      </w:pPr>
      <w:r>
        <w:t>Connection &amp; Data Layer</w:t>
      </w:r>
    </w:p>
    <w:p>
      <w:r>
        <w:t>SAP/ERP mock, bank/SFTP/file/API/document inputs, normalization, fingerprints, data-quality controls.</w:t>
      </w:r>
    </w:p>
    <w:p>
      <w:pPr>
        <w:pStyle w:val="Heading3"/>
      </w:pPr>
      <w:r>
        <w:t>Control Plane</w:t>
      </w:r>
    </w:p>
    <w:p>
      <w:r>
        <w:t>Tenant, dataset, workflow, agent, model, policy, authority, approval, connector and evidence registries.</w:t>
      </w:r>
    </w:p>
    <w:p>
      <w:pPr>
        <w:pStyle w:val="Heading3"/>
      </w:pPr>
      <w:r>
        <w:t>Orchestrator</w:t>
      </w:r>
    </w:p>
    <w:p>
      <w:r>
        <w:t>Owns workflow state, retries, deadlines, agent dispatch, budgets, exceptions and trace IDs.</w:t>
      </w:r>
    </w:p>
    <w:p>
      <w:pPr>
        <w:pStyle w:val="Heading3"/>
      </w:pPr>
      <w:r>
        <w:t>Model Gateway</w:t>
      </w:r>
    </w:p>
    <w:p>
      <w:r>
        <w:t>Logical model routes, prompt templates, structured output validation, provider adapters, cost/latency metadata.</w:t>
      </w:r>
    </w:p>
    <w:p>
      <w:pPr>
        <w:pStyle w:val="Heading3"/>
      </w:pPr>
      <w:r>
        <w:t>Policy &amp; Authority</w:t>
      </w:r>
    </w:p>
    <w:p>
      <w:r>
        <w:t>Deterministic ALLOW/ESCALATE/DENY plus delegated authority verbs and maker-checker controls.</w:t>
      </w:r>
    </w:p>
    <w:p>
      <w:pPr>
        <w:pStyle w:val="Heading3"/>
      </w:pPr>
      <w:r>
        <w:t>Approval Service</w:t>
      </w:r>
    </w:p>
    <w:p>
      <w:r>
        <w:t>Approve/reject/override, identity/authority verification, reason capture, decision evidence.</w:t>
      </w:r>
    </w:p>
    <w:p>
      <w:pPr>
        <w:pStyle w:val="Heading3"/>
      </w:pPr>
      <w:r>
        <w:t>Execution Gateway</w:t>
      </w:r>
    </w:p>
    <w:p>
      <w:r>
        <w:t>Only component permitted to perform consequential write operations; validates Action Token and idempotency.</w:t>
      </w:r>
    </w:p>
    <w:p>
      <w:pPr>
        <w:pStyle w:val="Heading3"/>
      </w:pPr>
      <w:r>
        <w:t>Evidence Fabric</w:t>
      </w:r>
    </w:p>
    <w:p>
      <w:r>
        <w:t>Canonical record, digest, hash chain, KMS/HSM-backed signature, immutable storage, verification/export.</w:t>
      </w:r>
    </w:p>
    <w:p>
      <w:pPr>
        <w:pStyle w:val="Heading3"/>
      </w:pPr>
      <w:r>
        <w:t>Readiness &amp; Reporting</w:t>
      </w:r>
    </w:p>
    <w:p>
      <w:r>
        <w:t>Architecture diagnosis, applicability assessment, control mapping, evidence coverage, report generation.</w:t>
      </w:r>
    </w:p>
    <w:p>
      <w:pPr>
        <w:pStyle w:val="Heading3"/>
      </w:pPr>
      <w:r>
        <w:t>AgentOps &amp; Economics</w:t>
      </w:r>
    </w:p>
    <w:p>
      <w:r>
        <w:t>Latency, failures, tokens/cost, escalation, overrides, evidence coverage and ROI instrumentation.</w:t>
      </w:r>
    </w:p>
    <w:p>
      <w:pPr>
        <w:pStyle w:val="Heading1"/>
      </w:pPr>
      <w:r>
        <w:t>5. AWS Deployment Architecture - POC/DEV</w:t>
      </w:r>
    </w:p>
    <w:p>
      <w:r>
        <w:t>The POC should run locally first, then deploy into a dedicated AWS development/demo environment. Keep cloud-specific adapters behind interfaces so the TrustOps semantics remain portable.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02A56"/>
            <w:vAlign w:val="center"/>
            <w:tcMar>
              <w:top w:w="90" w:type="dxa"/>
              <w:start w:w="110" w:type="dxa"/>
              <w:bottom w:w="90" w:type="dxa"/>
              <w:end w:w="110" w:type="dxa"/>
            </w:tcMar>
          </w:tcPr>
          <w:p>
            <w:r>
              <w:rPr>
                <w:b/>
                <w:color w:val="FFFFFF"/>
                <w:sz w:val="16"/>
              </w:rPr>
              <w:t>Layer</w:t>
            </w:r>
          </w:p>
        </w:tc>
        <w:tc>
          <w:tcPr>
            <w:tcW w:type="dxa" w:w="3528"/>
            <w:shd w:fill="102A56"/>
            <w:vAlign w:val="center"/>
            <w:tcMar>
              <w:top w:w="90" w:type="dxa"/>
              <w:start w:w="110" w:type="dxa"/>
              <w:bottom w:w="90" w:type="dxa"/>
              <w:end w:w="110" w:type="dxa"/>
            </w:tcMar>
          </w:tcPr>
          <w:p>
            <w:r>
              <w:rPr>
                <w:b/>
                <w:color w:val="FFFFFF"/>
                <w:sz w:val="16"/>
              </w:rPr>
              <w:t>AWS service / implementation</w:t>
            </w:r>
          </w:p>
        </w:tc>
        <w:tc>
          <w:tcPr>
            <w:tcW w:type="dxa" w:w="4536"/>
            <w:shd w:fill="102A56"/>
            <w:vAlign w:val="center"/>
            <w:tcMar>
              <w:top w:w="90" w:type="dxa"/>
              <w:start w:w="110" w:type="dxa"/>
              <w:bottom w:w="90" w:type="dxa"/>
              <w:end w:w="110" w:type="dxa"/>
            </w:tcMar>
          </w:tcPr>
          <w:p>
            <w:r>
              <w:rPr>
                <w:b/>
                <w:color w:val="FFFFFF"/>
                <w:sz w:val="16"/>
              </w:rPr>
              <w:t>Purpose</w:t>
            </w:r>
          </w:p>
        </w:tc>
      </w:tr>
      <w:tr>
        <w:tc>
          <w:tcPr>
            <w:tcW w:type="dxa" w:w="1728"/>
            <w:vAlign w:val="center"/>
            <w:tcMar>
              <w:top w:w="90" w:type="dxa"/>
              <w:start w:w="110" w:type="dxa"/>
              <w:bottom w:w="90" w:type="dxa"/>
              <w:end w:w="110" w:type="dxa"/>
            </w:tcMar>
          </w:tcPr>
          <w:p>
            <w:r>
              <w:rPr>
                <w:sz w:val="16"/>
              </w:rPr>
              <w:t>Edge</w:t>
            </w:r>
          </w:p>
        </w:tc>
        <w:tc>
          <w:tcPr>
            <w:tcW w:type="dxa" w:w="3528"/>
            <w:vAlign w:val="center"/>
            <w:tcMar>
              <w:top w:w="90" w:type="dxa"/>
              <w:start w:w="110" w:type="dxa"/>
              <w:bottom w:w="90" w:type="dxa"/>
              <w:end w:w="110" w:type="dxa"/>
            </w:tcMar>
          </w:tcPr>
          <w:p>
            <w:r>
              <w:rPr>
                <w:sz w:val="16"/>
              </w:rPr>
              <w:t>CloudFront + AWS WAF + ALB</w:t>
            </w:r>
          </w:p>
        </w:tc>
        <w:tc>
          <w:tcPr>
            <w:tcW w:type="dxa" w:w="4536"/>
            <w:vAlign w:val="center"/>
            <w:tcMar>
              <w:top w:w="90" w:type="dxa"/>
              <w:start w:w="110" w:type="dxa"/>
              <w:bottom w:w="90" w:type="dxa"/>
              <w:end w:w="110" w:type="dxa"/>
            </w:tcMar>
          </w:tcPr>
          <w:p>
            <w:r>
              <w:rPr>
                <w:sz w:val="16"/>
              </w:rPr>
              <w:t>TLS entry point, basic protection, routing</w:t>
            </w:r>
          </w:p>
        </w:tc>
      </w:tr>
      <w:tr>
        <w:tc>
          <w:tcPr>
            <w:tcW w:type="dxa" w:w="1728"/>
            <w:vAlign w:val="center"/>
            <w:tcMar>
              <w:top w:w="90" w:type="dxa"/>
              <w:start w:w="110" w:type="dxa"/>
              <w:bottom w:w="90" w:type="dxa"/>
              <w:end w:w="110" w:type="dxa"/>
            </w:tcMar>
          </w:tcPr>
          <w:p>
            <w:r>
              <w:rPr>
                <w:sz w:val="16"/>
              </w:rPr>
              <w:t>Web</w:t>
            </w:r>
          </w:p>
        </w:tc>
        <w:tc>
          <w:tcPr>
            <w:tcW w:type="dxa" w:w="3528"/>
            <w:vAlign w:val="center"/>
            <w:tcMar>
              <w:top w:w="90" w:type="dxa"/>
              <w:start w:w="110" w:type="dxa"/>
              <w:bottom w:w="90" w:type="dxa"/>
              <w:end w:w="110" w:type="dxa"/>
            </w:tcMar>
          </w:tcPr>
          <w:p>
            <w:r>
              <w:rPr>
                <w:sz w:val="16"/>
              </w:rPr>
              <w:t>ECS Fargate - Next.js</w:t>
            </w:r>
          </w:p>
        </w:tc>
        <w:tc>
          <w:tcPr>
            <w:tcW w:type="dxa" w:w="4536"/>
            <w:vAlign w:val="center"/>
            <w:tcMar>
              <w:top w:w="90" w:type="dxa"/>
              <w:start w:w="110" w:type="dxa"/>
              <w:bottom w:w="90" w:type="dxa"/>
              <w:end w:w="110" w:type="dxa"/>
            </w:tcMar>
          </w:tcPr>
          <w:p>
            <w:r>
              <w:rPr>
                <w:sz w:val="16"/>
              </w:rPr>
              <w:t>Business and Admin UI</w:t>
            </w:r>
          </w:p>
        </w:tc>
      </w:tr>
      <w:tr>
        <w:tc>
          <w:tcPr>
            <w:tcW w:type="dxa" w:w="1728"/>
            <w:vAlign w:val="center"/>
            <w:tcMar>
              <w:top w:w="90" w:type="dxa"/>
              <w:start w:w="110" w:type="dxa"/>
              <w:bottom w:w="90" w:type="dxa"/>
              <w:end w:w="110" w:type="dxa"/>
            </w:tcMar>
          </w:tcPr>
          <w:p>
            <w:r>
              <w:rPr>
                <w:sz w:val="16"/>
              </w:rPr>
              <w:t>API</w:t>
            </w:r>
          </w:p>
        </w:tc>
        <w:tc>
          <w:tcPr>
            <w:tcW w:type="dxa" w:w="3528"/>
            <w:vAlign w:val="center"/>
            <w:tcMar>
              <w:top w:w="90" w:type="dxa"/>
              <w:start w:w="110" w:type="dxa"/>
              <w:bottom w:w="90" w:type="dxa"/>
              <w:end w:w="110" w:type="dxa"/>
            </w:tcMar>
          </w:tcPr>
          <w:p>
            <w:r>
              <w:rPr>
                <w:sz w:val="16"/>
              </w:rPr>
              <w:t>ECS Fargate - FastAPI</w:t>
            </w:r>
          </w:p>
        </w:tc>
        <w:tc>
          <w:tcPr>
            <w:tcW w:type="dxa" w:w="4536"/>
            <w:vAlign w:val="center"/>
            <w:tcMar>
              <w:top w:w="90" w:type="dxa"/>
              <w:start w:w="110" w:type="dxa"/>
              <w:bottom w:w="90" w:type="dxa"/>
              <w:end w:w="110" w:type="dxa"/>
            </w:tcMar>
          </w:tcPr>
          <w:p>
            <w:r>
              <w:rPr>
                <w:sz w:val="16"/>
              </w:rPr>
              <w:t>REST APIs and tenant-aware backend</w:t>
            </w:r>
          </w:p>
        </w:tc>
      </w:tr>
      <w:tr>
        <w:tc>
          <w:tcPr>
            <w:tcW w:type="dxa" w:w="1728"/>
            <w:vAlign w:val="center"/>
            <w:tcMar>
              <w:top w:w="90" w:type="dxa"/>
              <w:start w:w="110" w:type="dxa"/>
              <w:bottom w:w="90" w:type="dxa"/>
              <w:end w:w="110" w:type="dxa"/>
            </w:tcMar>
          </w:tcPr>
          <w:p>
            <w:r>
              <w:rPr>
                <w:sz w:val="16"/>
              </w:rPr>
              <w:t>Workflow</w:t>
            </w:r>
          </w:p>
        </w:tc>
        <w:tc>
          <w:tcPr>
            <w:tcW w:type="dxa" w:w="3528"/>
            <w:vAlign w:val="center"/>
            <w:tcMar>
              <w:top w:w="90" w:type="dxa"/>
              <w:start w:w="110" w:type="dxa"/>
              <w:bottom w:w="90" w:type="dxa"/>
              <w:end w:w="110" w:type="dxa"/>
            </w:tcMar>
          </w:tcPr>
          <w:p>
            <w:r>
              <w:rPr>
                <w:sz w:val="16"/>
              </w:rPr>
              <w:t>AWS Step Functions</w:t>
            </w:r>
          </w:p>
        </w:tc>
        <w:tc>
          <w:tcPr>
            <w:tcW w:type="dxa" w:w="4536"/>
            <w:vAlign w:val="center"/>
            <w:tcMar>
              <w:top w:w="90" w:type="dxa"/>
              <w:start w:w="110" w:type="dxa"/>
              <w:bottom w:w="90" w:type="dxa"/>
              <w:end w:w="110" w:type="dxa"/>
            </w:tcMar>
          </w:tcPr>
          <w:p>
            <w:r>
              <w:rPr>
                <w:sz w:val="16"/>
              </w:rPr>
              <w:t>Durable state machine for governed workflows</w:t>
            </w:r>
          </w:p>
        </w:tc>
      </w:tr>
      <w:tr>
        <w:tc>
          <w:tcPr>
            <w:tcW w:type="dxa" w:w="1728"/>
            <w:vAlign w:val="center"/>
            <w:tcMar>
              <w:top w:w="90" w:type="dxa"/>
              <w:start w:w="110" w:type="dxa"/>
              <w:bottom w:w="90" w:type="dxa"/>
              <w:end w:w="110" w:type="dxa"/>
            </w:tcMar>
          </w:tcPr>
          <w:p>
            <w:r>
              <w:rPr>
                <w:sz w:val="16"/>
              </w:rPr>
              <w:t>Events</w:t>
            </w:r>
          </w:p>
        </w:tc>
        <w:tc>
          <w:tcPr>
            <w:tcW w:type="dxa" w:w="3528"/>
            <w:vAlign w:val="center"/>
            <w:tcMar>
              <w:top w:w="90" w:type="dxa"/>
              <w:start w:w="110" w:type="dxa"/>
              <w:bottom w:w="90" w:type="dxa"/>
              <w:end w:w="110" w:type="dxa"/>
            </w:tcMar>
          </w:tcPr>
          <w:p>
            <w:r>
              <w:rPr>
                <w:sz w:val="16"/>
              </w:rPr>
              <w:t>EventBridge + SQS + DLQ</w:t>
            </w:r>
          </w:p>
        </w:tc>
        <w:tc>
          <w:tcPr>
            <w:tcW w:type="dxa" w:w="4536"/>
            <w:vAlign w:val="center"/>
            <w:tcMar>
              <w:top w:w="90" w:type="dxa"/>
              <w:start w:w="110" w:type="dxa"/>
              <w:bottom w:w="90" w:type="dxa"/>
              <w:end w:w="110" w:type="dxa"/>
            </w:tcMar>
          </w:tcPr>
          <w:p>
            <w:r>
              <w:rPr>
                <w:sz w:val="16"/>
              </w:rPr>
              <w:t>Event routing, decoupling and retry isolation</w:t>
            </w:r>
          </w:p>
        </w:tc>
      </w:tr>
      <w:tr>
        <w:tc>
          <w:tcPr>
            <w:tcW w:type="dxa" w:w="1728"/>
            <w:vAlign w:val="center"/>
            <w:tcMar>
              <w:top w:w="90" w:type="dxa"/>
              <w:start w:w="110" w:type="dxa"/>
              <w:bottom w:w="90" w:type="dxa"/>
              <w:end w:w="110" w:type="dxa"/>
            </w:tcMar>
          </w:tcPr>
          <w:p>
            <w:r>
              <w:rPr>
                <w:sz w:val="16"/>
              </w:rPr>
              <w:t>Agent runtime</w:t>
            </w:r>
          </w:p>
        </w:tc>
        <w:tc>
          <w:tcPr>
            <w:tcW w:type="dxa" w:w="3528"/>
            <w:vAlign w:val="center"/>
            <w:tcMar>
              <w:top w:w="90" w:type="dxa"/>
              <w:start w:w="110" w:type="dxa"/>
              <w:bottom w:w="90" w:type="dxa"/>
              <w:end w:w="110" w:type="dxa"/>
            </w:tcMar>
          </w:tcPr>
          <w:p>
            <w:r>
              <w:rPr>
                <w:sz w:val="16"/>
              </w:rPr>
              <w:t>ECS Fargate tasks/services</w:t>
            </w:r>
          </w:p>
        </w:tc>
        <w:tc>
          <w:tcPr>
            <w:tcW w:type="dxa" w:w="4536"/>
            <w:vAlign w:val="center"/>
            <w:tcMar>
              <w:top w:w="90" w:type="dxa"/>
              <w:start w:w="110" w:type="dxa"/>
              <w:bottom w:w="90" w:type="dxa"/>
              <w:end w:w="110" w:type="dxa"/>
            </w:tcMar>
          </w:tcPr>
          <w:p>
            <w:r>
              <w:rPr>
                <w:sz w:val="16"/>
              </w:rPr>
              <w:t>Stateless governed agent workers</w:t>
            </w:r>
          </w:p>
        </w:tc>
      </w:tr>
      <w:tr>
        <w:tc>
          <w:tcPr>
            <w:tcW w:type="dxa" w:w="1728"/>
            <w:vAlign w:val="center"/>
            <w:tcMar>
              <w:top w:w="90" w:type="dxa"/>
              <w:start w:w="110" w:type="dxa"/>
              <w:bottom w:w="90" w:type="dxa"/>
              <w:end w:w="110" w:type="dxa"/>
            </w:tcMar>
          </w:tcPr>
          <w:p>
            <w:r>
              <w:rPr>
                <w:sz w:val="16"/>
              </w:rPr>
              <w:t>Relational data</w:t>
            </w:r>
          </w:p>
        </w:tc>
        <w:tc>
          <w:tcPr>
            <w:tcW w:type="dxa" w:w="3528"/>
            <w:vAlign w:val="center"/>
            <w:tcMar>
              <w:top w:w="90" w:type="dxa"/>
              <w:start w:w="110" w:type="dxa"/>
              <w:bottom w:w="90" w:type="dxa"/>
              <w:end w:w="110" w:type="dxa"/>
            </w:tcMar>
          </w:tcPr>
          <w:p>
            <w:r>
              <w:rPr>
                <w:sz w:val="16"/>
              </w:rPr>
              <w:t>Aurora PostgreSQL</w:t>
            </w:r>
          </w:p>
        </w:tc>
        <w:tc>
          <w:tcPr>
            <w:tcW w:type="dxa" w:w="4536"/>
            <w:vAlign w:val="center"/>
            <w:tcMar>
              <w:top w:w="90" w:type="dxa"/>
              <w:start w:w="110" w:type="dxa"/>
              <w:bottom w:w="90" w:type="dxa"/>
              <w:end w:w="110" w:type="dxa"/>
            </w:tcMar>
          </w:tcPr>
          <w:p>
            <w:r>
              <w:rPr>
                <w:sz w:val="16"/>
              </w:rPr>
              <w:t>Registry/configuration, approvals and business metadata</w:t>
            </w:r>
          </w:p>
        </w:tc>
      </w:tr>
      <w:tr>
        <w:tc>
          <w:tcPr>
            <w:tcW w:type="dxa" w:w="1728"/>
            <w:vAlign w:val="center"/>
            <w:tcMar>
              <w:top w:w="90" w:type="dxa"/>
              <w:start w:w="110" w:type="dxa"/>
              <w:bottom w:w="90" w:type="dxa"/>
              <w:end w:w="110" w:type="dxa"/>
            </w:tcMar>
          </w:tcPr>
          <w:p>
            <w:r>
              <w:rPr>
                <w:sz w:val="16"/>
              </w:rPr>
              <w:t>Vector retrieval</w:t>
            </w:r>
          </w:p>
        </w:tc>
        <w:tc>
          <w:tcPr>
            <w:tcW w:type="dxa" w:w="3528"/>
            <w:vAlign w:val="center"/>
            <w:tcMar>
              <w:top w:w="90" w:type="dxa"/>
              <w:start w:w="110" w:type="dxa"/>
              <w:bottom w:w="90" w:type="dxa"/>
              <w:end w:w="110" w:type="dxa"/>
            </w:tcMar>
          </w:tcPr>
          <w:p>
            <w:r>
              <w:rPr>
                <w:sz w:val="16"/>
              </w:rPr>
              <w:t>pgvector in PostgreSQL</w:t>
            </w:r>
          </w:p>
        </w:tc>
        <w:tc>
          <w:tcPr>
            <w:tcW w:type="dxa" w:w="4536"/>
            <w:vAlign w:val="center"/>
            <w:tcMar>
              <w:top w:w="90" w:type="dxa"/>
              <w:start w:w="110" w:type="dxa"/>
              <w:bottom w:w="90" w:type="dxa"/>
              <w:end w:w="110" w:type="dxa"/>
            </w:tcMar>
          </w:tcPr>
          <w:p>
            <w:r>
              <w:rPr>
                <w:sz w:val="16"/>
              </w:rPr>
              <w:t>POC semantic retrieval</w:t>
            </w:r>
          </w:p>
        </w:tc>
      </w:tr>
      <w:tr>
        <w:tc>
          <w:tcPr>
            <w:tcW w:type="dxa" w:w="1728"/>
            <w:vAlign w:val="center"/>
            <w:tcMar>
              <w:top w:w="90" w:type="dxa"/>
              <w:start w:w="110" w:type="dxa"/>
              <w:bottom w:w="90" w:type="dxa"/>
              <w:end w:w="110" w:type="dxa"/>
            </w:tcMar>
          </w:tcPr>
          <w:p>
            <w:r>
              <w:rPr>
                <w:sz w:val="16"/>
              </w:rPr>
              <w:t>Workflow/idempotency</w:t>
            </w:r>
          </w:p>
        </w:tc>
        <w:tc>
          <w:tcPr>
            <w:tcW w:type="dxa" w:w="3528"/>
            <w:vAlign w:val="center"/>
            <w:tcMar>
              <w:top w:w="90" w:type="dxa"/>
              <w:start w:w="110" w:type="dxa"/>
              <w:bottom w:w="90" w:type="dxa"/>
              <w:end w:w="110" w:type="dxa"/>
            </w:tcMar>
          </w:tcPr>
          <w:p>
            <w:r>
              <w:rPr>
                <w:sz w:val="16"/>
              </w:rPr>
              <w:t>DynamoDB</w:t>
            </w:r>
          </w:p>
        </w:tc>
        <w:tc>
          <w:tcPr>
            <w:tcW w:type="dxa" w:w="4536"/>
            <w:vAlign w:val="center"/>
            <w:tcMar>
              <w:top w:w="90" w:type="dxa"/>
              <w:start w:w="110" w:type="dxa"/>
              <w:bottom w:w="90" w:type="dxa"/>
              <w:end w:w="110" w:type="dxa"/>
            </w:tcMar>
          </w:tcPr>
          <w:p>
            <w:r>
              <w:rPr>
                <w:sz w:val="16"/>
              </w:rPr>
              <w:t>Run state, locks and idempotency keys</w:t>
            </w:r>
          </w:p>
        </w:tc>
      </w:tr>
      <w:tr>
        <w:tc>
          <w:tcPr>
            <w:tcW w:type="dxa" w:w="1728"/>
            <w:vAlign w:val="center"/>
            <w:tcMar>
              <w:top w:w="90" w:type="dxa"/>
              <w:start w:w="110" w:type="dxa"/>
              <w:bottom w:w="90" w:type="dxa"/>
              <w:end w:w="110" w:type="dxa"/>
            </w:tcMar>
          </w:tcPr>
          <w:p>
            <w:r>
              <w:rPr>
                <w:sz w:val="16"/>
              </w:rPr>
              <w:t>Knowledge graph</w:t>
            </w:r>
          </w:p>
        </w:tc>
        <w:tc>
          <w:tcPr>
            <w:tcW w:type="dxa" w:w="3528"/>
            <w:vAlign w:val="center"/>
            <w:tcMar>
              <w:top w:w="90" w:type="dxa"/>
              <w:start w:w="110" w:type="dxa"/>
              <w:bottom w:w="90" w:type="dxa"/>
              <w:end w:w="110" w:type="dxa"/>
            </w:tcMar>
          </w:tcPr>
          <w:p>
            <w:r>
              <w:rPr>
                <w:sz w:val="16"/>
              </w:rPr>
              <w:t>Neo4j managed/private deployment</w:t>
            </w:r>
          </w:p>
        </w:tc>
        <w:tc>
          <w:tcPr>
            <w:tcW w:type="dxa" w:w="4536"/>
            <w:vAlign w:val="center"/>
            <w:tcMar>
              <w:top w:w="90" w:type="dxa"/>
              <w:start w:w="110" w:type="dxa"/>
              <w:bottom w:w="90" w:type="dxa"/>
              <w:end w:w="110" w:type="dxa"/>
            </w:tcMar>
          </w:tcPr>
          <w:p>
            <w:r>
              <w:rPr>
                <w:sz w:val="16"/>
              </w:rPr>
              <w:t>Regulatory/control/domain relationships</w:t>
            </w:r>
          </w:p>
        </w:tc>
      </w:tr>
      <w:tr>
        <w:tc>
          <w:tcPr>
            <w:tcW w:type="dxa" w:w="1728"/>
            <w:vAlign w:val="center"/>
            <w:tcMar>
              <w:top w:w="90" w:type="dxa"/>
              <w:start w:w="110" w:type="dxa"/>
              <w:bottom w:w="90" w:type="dxa"/>
              <w:end w:w="110" w:type="dxa"/>
            </w:tcMar>
          </w:tcPr>
          <w:p>
            <w:r>
              <w:rPr>
                <w:sz w:val="16"/>
              </w:rPr>
              <w:t>Objects</w:t>
            </w:r>
          </w:p>
        </w:tc>
        <w:tc>
          <w:tcPr>
            <w:tcW w:type="dxa" w:w="3528"/>
            <w:vAlign w:val="center"/>
            <w:tcMar>
              <w:top w:w="90" w:type="dxa"/>
              <w:start w:w="110" w:type="dxa"/>
              <w:bottom w:w="90" w:type="dxa"/>
              <w:end w:w="110" w:type="dxa"/>
            </w:tcMar>
          </w:tcPr>
          <w:p>
            <w:r>
              <w:rPr>
                <w:sz w:val="16"/>
              </w:rPr>
              <w:t>S3</w:t>
            </w:r>
          </w:p>
        </w:tc>
        <w:tc>
          <w:tcPr>
            <w:tcW w:type="dxa" w:w="4536"/>
            <w:vAlign w:val="center"/>
            <w:tcMar>
              <w:top w:w="90" w:type="dxa"/>
              <w:start w:w="110" w:type="dxa"/>
              <w:bottom w:w="90" w:type="dxa"/>
              <w:end w:w="110" w:type="dxa"/>
            </w:tcMar>
          </w:tcPr>
          <w:p>
            <w:r>
              <w:rPr>
                <w:sz w:val="16"/>
              </w:rPr>
              <w:t>Raw/normalized files, documents and evidence bundles</w:t>
            </w:r>
          </w:p>
        </w:tc>
      </w:tr>
      <w:tr>
        <w:tc>
          <w:tcPr>
            <w:tcW w:type="dxa" w:w="1728"/>
            <w:vAlign w:val="center"/>
            <w:tcMar>
              <w:top w:w="90" w:type="dxa"/>
              <w:start w:w="110" w:type="dxa"/>
              <w:bottom w:w="90" w:type="dxa"/>
              <w:end w:w="110" w:type="dxa"/>
            </w:tcMar>
          </w:tcPr>
          <w:p>
            <w:r>
              <w:rPr>
                <w:sz w:val="16"/>
              </w:rPr>
              <w:t>Evidence signing</w:t>
            </w:r>
          </w:p>
        </w:tc>
        <w:tc>
          <w:tcPr>
            <w:tcW w:type="dxa" w:w="3528"/>
            <w:vAlign w:val="center"/>
            <w:tcMar>
              <w:top w:w="90" w:type="dxa"/>
              <w:start w:w="110" w:type="dxa"/>
              <w:bottom w:w="90" w:type="dxa"/>
              <w:end w:w="110" w:type="dxa"/>
            </w:tcMar>
          </w:tcPr>
          <w:p>
            <w:r>
              <w:rPr>
                <w:sz w:val="16"/>
              </w:rPr>
              <w:t>AWS KMS asymmetric key</w:t>
            </w:r>
          </w:p>
        </w:tc>
        <w:tc>
          <w:tcPr>
            <w:tcW w:type="dxa" w:w="4536"/>
            <w:vAlign w:val="center"/>
            <w:tcMar>
              <w:top w:w="90" w:type="dxa"/>
              <w:start w:w="110" w:type="dxa"/>
              <w:bottom w:w="90" w:type="dxa"/>
              <w:end w:w="110" w:type="dxa"/>
            </w:tcMar>
          </w:tcPr>
          <w:p>
            <w:r>
              <w:rPr>
                <w:sz w:val="16"/>
              </w:rPr>
              <w:t>Signing evidence digests</w:t>
            </w:r>
          </w:p>
        </w:tc>
      </w:tr>
      <w:tr>
        <w:tc>
          <w:tcPr>
            <w:tcW w:type="dxa" w:w="1728"/>
            <w:vAlign w:val="center"/>
            <w:tcMar>
              <w:top w:w="90" w:type="dxa"/>
              <w:start w:w="110" w:type="dxa"/>
              <w:bottom w:w="90" w:type="dxa"/>
              <w:end w:w="110" w:type="dxa"/>
            </w:tcMar>
          </w:tcPr>
          <w:p>
            <w:r>
              <w:rPr>
                <w:sz w:val="16"/>
              </w:rPr>
              <w:t>Evidence retention</w:t>
            </w:r>
          </w:p>
        </w:tc>
        <w:tc>
          <w:tcPr>
            <w:tcW w:type="dxa" w:w="3528"/>
            <w:vAlign w:val="center"/>
            <w:tcMar>
              <w:top w:w="90" w:type="dxa"/>
              <w:start w:w="110" w:type="dxa"/>
              <w:bottom w:w="90" w:type="dxa"/>
              <w:end w:w="110" w:type="dxa"/>
            </w:tcMar>
          </w:tcPr>
          <w:p>
            <w:r>
              <w:rPr>
                <w:sz w:val="16"/>
              </w:rPr>
              <w:t>S3 versioning + Object Lock profile</w:t>
            </w:r>
          </w:p>
        </w:tc>
        <w:tc>
          <w:tcPr>
            <w:tcW w:type="dxa" w:w="4536"/>
            <w:vAlign w:val="center"/>
            <w:tcMar>
              <w:top w:w="90" w:type="dxa"/>
              <w:start w:w="110" w:type="dxa"/>
              <w:bottom w:w="90" w:type="dxa"/>
              <w:end w:w="110" w:type="dxa"/>
            </w:tcMar>
          </w:tcPr>
          <w:p>
            <w:r>
              <w:rPr>
                <w:sz w:val="16"/>
              </w:rPr>
              <w:t>WORM-style evidence retention where configured</w:t>
            </w:r>
          </w:p>
        </w:tc>
      </w:tr>
      <w:tr>
        <w:tc>
          <w:tcPr>
            <w:tcW w:type="dxa" w:w="1728"/>
            <w:vAlign w:val="center"/>
            <w:tcMar>
              <w:top w:w="90" w:type="dxa"/>
              <w:start w:w="110" w:type="dxa"/>
              <w:bottom w:w="90" w:type="dxa"/>
              <w:end w:w="110" w:type="dxa"/>
            </w:tcMar>
          </w:tcPr>
          <w:p>
            <w:r>
              <w:rPr>
                <w:sz w:val="16"/>
              </w:rPr>
              <w:t>Secrets</w:t>
            </w:r>
          </w:p>
        </w:tc>
        <w:tc>
          <w:tcPr>
            <w:tcW w:type="dxa" w:w="3528"/>
            <w:vAlign w:val="center"/>
            <w:tcMar>
              <w:top w:w="90" w:type="dxa"/>
              <w:start w:w="110" w:type="dxa"/>
              <w:bottom w:w="90" w:type="dxa"/>
              <w:end w:w="110" w:type="dxa"/>
            </w:tcMar>
          </w:tcPr>
          <w:p>
            <w:r>
              <w:rPr>
                <w:sz w:val="16"/>
              </w:rPr>
              <w:t>AWS Secrets Manager</w:t>
            </w:r>
          </w:p>
        </w:tc>
        <w:tc>
          <w:tcPr>
            <w:tcW w:type="dxa" w:w="4536"/>
            <w:vAlign w:val="center"/>
            <w:tcMar>
              <w:top w:w="90" w:type="dxa"/>
              <w:start w:w="110" w:type="dxa"/>
              <w:bottom w:w="90" w:type="dxa"/>
              <w:end w:w="110" w:type="dxa"/>
            </w:tcMar>
          </w:tcPr>
          <w:p>
            <w:r>
              <w:rPr>
                <w:sz w:val="16"/>
              </w:rPr>
              <w:t>Connector and service credentials</w:t>
            </w:r>
          </w:p>
        </w:tc>
      </w:tr>
      <w:tr>
        <w:tc>
          <w:tcPr>
            <w:tcW w:type="dxa" w:w="1728"/>
            <w:vAlign w:val="center"/>
            <w:tcMar>
              <w:top w:w="90" w:type="dxa"/>
              <w:start w:w="110" w:type="dxa"/>
              <w:bottom w:w="90" w:type="dxa"/>
              <w:end w:w="110" w:type="dxa"/>
            </w:tcMar>
          </w:tcPr>
          <w:p>
            <w:r>
              <w:rPr>
                <w:sz w:val="16"/>
              </w:rPr>
              <w:t>Identity</w:t>
            </w:r>
          </w:p>
        </w:tc>
        <w:tc>
          <w:tcPr>
            <w:tcW w:type="dxa" w:w="3528"/>
            <w:vAlign w:val="center"/>
            <w:tcMar>
              <w:top w:w="90" w:type="dxa"/>
              <w:start w:w="110" w:type="dxa"/>
              <w:bottom w:w="90" w:type="dxa"/>
              <w:end w:w="110" w:type="dxa"/>
            </w:tcMar>
          </w:tcPr>
          <w:p>
            <w:r>
              <w:rPr>
                <w:sz w:val="16"/>
              </w:rPr>
              <w:t>Amazon Cognito</w:t>
            </w:r>
          </w:p>
        </w:tc>
        <w:tc>
          <w:tcPr>
            <w:tcW w:type="dxa" w:w="4536"/>
            <w:vAlign w:val="center"/>
            <w:tcMar>
              <w:top w:w="90" w:type="dxa"/>
              <w:start w:w="110" w:type="dxa"/>
              <w:bottom w:w="90" w:type="dxa"/>
              <w:end w:w="110" w:type="dxa"/>
            </w:tcMar>
          </w:tcPr>
          <w:p>
            <w:r>
              <w:rPr>
                <w:sz w:val="16"/>
              </w:rPr>
              <w:t>POC authentication; future enterprise federation</w:t>
            </w:r>
          </w:p>
        </w:tc>
      </w:tr>
      <w:tr>
        <w:tc>
          <w:tcPr>
            <w:tcW w:type="dxa" w:w="1728"/>
            <w:vAlign w:val="center"/>
            <w:tcMar>
              <w:top w:w="90" w:type="dxa"/>
              <w:start w:w="110" w:type="dxa"/>
              <w:bottom w:w="90" w:type="dxa"/>
              <w:end w:w="110" w:type="dxa"/>
            </w:tcMar>
          </w:tcPr>
          <w:p>
            <w:r>
              <w:rPr>
                <w:sz w:val="16"/>
              </w:rPr>
              <w:t>Telemetry</w:t>
            </w:r>
          </w:p>
        </w:tc>
        <w:tc>
          <w:tcPr>
            <w:tcW w:type="dxa" w:w="3528"/>
            <w:vAlign w:val="center"/>
            <w:tcMar>
              <w:top w:w="90" w:type="dxa"/>
              <w:start w:w="110" w:type="dxa"/>
              <w:bottom w:w="90" w:type="dxa"/>
              <w:end w:w="110" w:type="dxa"/>
            </w:tcMar>
          </w:tcPr>
          <w:p>
            <w:r>
              <w:rPr>
                <w:sz w:val="16"/>
              </w:rPr>
              <w:t>OpenTelemetry + CloudWatch</w:t>
            </w:r>
          </w:p>
        </w:tc>
        <w:tc>
          <w:tcPr>
            <w:tcW w:type="dxa" w:w="4536"/>
            <w:vAlign w:val="center"/>
            <w:tcMar>
              <w:top w:w="90" w:type="dxa"/>
              <w:start w:w="110" w:type="dxa"/>
              <w:bottom w:w="90" w:type="dxa"/>
              <w:end w:w="110" w:type="dxa"/>
            </w:tcMar>
          </w:tcPr>
          <w:p>
            <w:r>
              <w:rPr>
                <w:sz w:val="16"/>
              </w:rPr>
              <w:t>Logs, metrics, traces and alarms</w:t>
            </w:r>
          </w:p>
        </w:tc>
      </w:tr>
      <w:tr>
        <w:tc>
          <w:tcPr>
            <w:tcW w:type="dxa" w:w="1728"/>
            <w:vAlign w:val="center"/>
            <w:tcMar>
              <w:top w:w="90" w:type="dxa"/>
              <w:start w:w="110" w:type="dxa"/>
              <w:bottom w:w="90" w:type="dxa"/>
              <w:end w:w="110" w:type="dxa"/>
            </w:tcMar>
          </w:tcPr>
          <w:p>
            <w:r>
              <w:rPr>
                <w:sz w:val="16"/>
              </w:rPr>
              <w:t>IaC / CI-CD</w:t>
            </w:r>
          </w:p>
        </w:tc>
        <w:tc>
          <w:tcPr>
            <w:tcW w:type="dxa" w:w="3528"/>
            <w:vAlign w:val="center"/>
            <w:tcMar>
              <w:top w:w="90" w:type="dxa"/>
              <w:start w:w="110" w:type="dxa"/>
              <w:bottom w:w="90" w:type="dxa"/>
              <w:end w:w="110" w:type="dxa"/>
            </w:tcMar>
          </w:tcPr>
          <w:p>
            <w:r>
              <w:rPr>
                <w:sz w:val="16"/>
              </w:rPr>
              <w:t>Terraform + GitHub Actions OIDC</w:t>
            </w:r>
          </w:p>
        </w:tc>
        <w:tc>
          <w:tcPr>
            <w:tcW w:type="dxa" w:w="4536"/>
            <w:vAlign w:val="center"/>
            <w:tcMar>
              <w:top w:w="90" w:type="dxa"/>
              <w:start w:w="110" w:type="dxa"/>
              <w:bottom w:w="90" w:type="dxa"/>
              <w:end w:w="110" w:type="dxa"/>
            </w:tcMar>
          </w:tcPr>
          <w:p>
            <w:r>
              <w:rPr>
                <w:sz w:val="16"/>
              </w:rPr>
              <w:t>Repeatable least-privilege deployment</w:t>
            </w:r>
          </w:p>
        </w:tc>
      </w:tr>
    </w:tbl>
    <w:p/>
    <w:p>
      <w:pPr>
        <w:pStyle w:val="Heading2"/>
      </w:pPr>
      <w:r>
        <w:t>5.1 Network and trust zones</w:t>
      </w:r>
    </w:p>
    <w:p>
      <w:pPr>
        <w:pStyle w:val="ListBullet"/>
      </w:pPr>
      <w:r>
        <w:t>Public: ALB only; no public database endpoints.</w:t>
      </w:r>
    </w:p>
    <w:p>
      <w:pPr>
        <w:pStyle w:val="ListBullet"/>
      </w:pPr>
      <w:r>
        <w:t>Application private subnets: web/API/services/agent tasks.</w:t>
      </w:r>
    </w:p>
    <w:p>
      <w:pPr>
        <w:pStyle w:val="ListBullet"/>
      </w:pPr>
      <w:r>
        <w:t>Data private subnets: Aurora, Neo4j/private stores.</w:t>
      </w:r>
    </w:p>
    <w:p>
      <w:pPr>
        <w:pStyle w:val="ListBullet"/>
      </w:pPr>
      <w:r>
        <w:t>Separate ECS task roles for API, agents, execution gateway and evidence service.</w:t>
      </w:r>
    </w:p>
    <w:p>
      <w:pPr>
        <w:pStyle w:val="ListBullet"/>
      </w:pPr>
      <w:r>
        <w:t>Reasoning agents never receive ERP write credentials or broad KMS/S3 permissions.</w:t>
      </w:r>
    </w:p>
    <w:p>
      <w:pPr>
        <w:pStyle w:val="ListBullet"/>
      </w:pPr>
      <w:r>
        <w:t>Execution Gateway uses the separately scoped write identity only after Action Token validation.</w:t>
      </w:r>
    </w:p>
    <w:p>
      <w:pPr>
        <w:pStyle w:val="Heading1"/>
      </w:pPr>
      <w:r>
        <w:t>6. Core Runtime Flow and State Machine</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RECEIVED -&gt; VALIDATED -&gt; CONTEXT_RESOLVED -&gt; PLANNED -&gt; RUNNING</w:t>
              <w:br/>
              <w:t xml:space="preserve">  -&gt; POLICY_EVALUATED</w:t>
              <w:br/>
              <w:t xml:space="preserve">      -&gt; DENIED -&gt; EVIDENCED -&gt; COMPLETED</w:t>
              <w:br/>
              <w:t xml:space="preserve">      -&gt; APPROVAL_REQUIRED -&gt; APPROVED/REJECTED/OVERRIDDEN</w:t>
              <w:br/>
              <w:t xml:space="preserve">      -&gt; AUTHORIZED -&gt; ACTION_PREPARED -&gt; EVIDENCE_PRECOMMITTED</w:t>
              <w:br/>
              <w:t xml:space="preserve">      -&gt; EXECUTED -&gt; EVIDENCE_COMMITTED -&gt; OUTCOME_OBSERVED -&gt; COMPLETED</w:t>
            </w:r>
          </w:p>
        </w:tc>
      </w:tr>
    </w:tbl>
    <w:p/>
    <w:p>
      <w:pPr>
        <w:pStyle w:val="Heading2"/>
      </w:pPr>
      <w:r>
        <w:t>6.1 Canonical event envelope</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w:t>
              <w:br/>
              <w:t xml:space="preserve">  "event_id": "evt_...",</w:t>
              <w:br/>
              <w:t xml:space="preserve">  "event_type": "agent.completed",</w:t>
              <w:br/>
              <w:t xml:space="preserve">  "tenant_id": "demo-bank",</w:t>
              <w:br/>
              <w:t xml:space="preserve">  "environment_id": "poc",</w:t>
              <w:br/>
              <w:t xml:space="preserve">  "workflow_id": "ledgersight.ar_cash",</w:t>
              <w:br/>
              <w:t xml:space="preserve">  "workflow_version": "0.1.0",</w:t>
              <w:br/>
              <w:t xml:space="preserve">  "trace_id": "tr_...",</w:t>
              <w:br/>
              <w:t xml:space="preserve">  "causation_id": "evt_...",</w:t>
              <w:br/>
              <w:t xml:space="preserve">  "step_id": "match_03",</w:t>
              <w:br/>
              <w:t xml:space="preserve">  "subject_type": "bank_receipt",</w:t>
              <w:br/>
              <w:t xml:space="preserve">  "subject_id": "RCPT-88381",</w:t>
              <w:br/>
              <w:t xml:space="preserve">  "occurred_at": "ISO-8601",</w:t>
              <w:br/>
              <w:t xml:space="preserve">  "payload_ref": "s3://...",</w:t>
              <w:br/>
              <w:t xml:space="preserve">  "payload_digest": "sha256:...",</w:t>
              <w:br/>
              <w:t xml:space="preserve">  "classification": "confidential"</w:t>
              <w:br/>
              <w:t>}</w:t>
            </w:r>
          </w:p>
        </w:tc>
      </w:tr>
    </w:tbl>
    <w:p/>
    <w:p>
      <w:pPr>
        <w:pStyle w:val="Heading1"/>
      </w:pPr>
      <w:r>
        <w:t>7. Agent and Model Design</w:t>
      </w:r>
    </w:p>
    <w:p>
      <w:pPr>
        <w:pStyle w:val="Heading2"/>
      </w:pPr>
      <w:r>
        <w:t>7.1 POC agent team</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shd w:fill="102A56"/>
            <w:vAlign w:val="center"/>
            <w:tcMar>
              <w:top w:w="90" w:type="dxa"/>
              <w:start w:w="110" w:type="dxa"/>
              <w:bottom w:w="90" w:type="dxa"/>
              <w:end w:w="110" w:type="dxa"/>
            </w:tcMar>
          </w:tcPr>
          <w:p>
            <w:r>
              <w:rPr>
                <w:b/>
                <w:color w:val="FFFFFF"/>
                <w:sz w:val="17"/>
              </w:rPr>
              <w:t>Agent</w:t>
            </w:r>
          </w:p>
        </w:tc>
        <w:tc>
          <w:tcPr>
            <w:tcW w:type="dxa" w:w="3168"/>
            <w:shd w:fill="102A56"/>
            <w:vAlign w:val="center"/>
            <w:tcMar>
              <w:top w:w="90" w:type="dxa"/>
              <w:start w:w="110" w:type="dxa"/>
              <w:bottom w:w="90" w:type="dxa"/>
              <w:end w:w="110" w:type="dxa"/>
            </w:tcMar>
          </w:tcPr>
          <w:p>
            <w:r>
              <w:rPr>
                <w:b/>
                <w:color w:val="FFFFFF"/>
                <w:sz w:val="17"/>
              </w:rPr>
              <w:t>Purpose</w:t>
            </w:r>
          </w:p>
        </w:tc>
        <w:tc>
          <w:tcPr>
            <w:tcW w:type="dxa" w:w="3096"/>
            <w:shd w:fill="102A56"/>
            <w:vAlign w:val="center"/>
            <w:tcMar>
              <w:top w:w="90" w:type="dxa"/>
              <w:start w:w="110" w:type="dxa"/>
              <w:bottom w:w="90" w:type="dxa"/>
              <w:end w:w="110" w:type="dxa"/>
            </w:tcMar>
          </w:tcPr>
          <w:p>
            <w:r>
              <w:rPr>
                <w:b/>
                <w:color w:val="FFFFFF"/>
                <w:sz w:val="17"/>
              </w:rPr>
              <w:t>Allowed authority</w:t>
            </w:r>
          </w:p>
        </w:tc>
        <w:tc>
          <w:tcPr>
            <w:tcW w:type="dxa" w:w="2088"/>
            <w:shd w:fill="102A56"/>
            <w:vAlign w:val="center"/>
            <w:tcMar>
              <w:top w:w="90" w:type="dxa"/>
              <w:start w:w="110" w:type="dxa"/>
              <w:bottom w:w="90" w:type="dxa"/>
              <w:end w:w="110" w:type="dxa"/>
            </w:tcMar>
          </w:tcPr>
          <w:p>
            <w:r>
              <w:rPr>
                <w:b/>
                <w:color w:val="FFFFFF"/>
                <w:sz w:val="17"/>
              </w:rPr>
              <w:t>Model use</w:t>
            </w:r>
          </w:p>
        </w:tc>
      </w:tr>
      <w:tr>
        <w:tc>
          <w:tcPr>
            <w:tcW w:type="dxa" w:w="1584"/>
            <w:vAlign w:val="center"/>
            <w:tcMar>
              <w:top w:w="90" w:type="dxa"/>
              <w:start w:w="110" w:type="dxa"/>
              <w:bottom w:w="90" w:type="dxa"/>
              <w:end w:w="110" w:type="dxa"/>
            </w:tcMar>
          </w:tcPr>
          <w:p>
            <w:r>
              <w:rPr>
                <w:sz w:val="17"/>
              </w:rPr>
              <w:t>Intake</w:t>
            </w:r>
          </w:p>
        </w:tc>
        <w:tc>
          <w:tcPr>
            <w:tcW w:type="dxa" w:w="3168"/>
            <w:vAlign w:val="center"/>
            <w:tcMar>
              <w:top w:w="90" w:type="dxa"/>
              <w:start w:w="110" w:type="dxa"/>
              <w:bottom w:w="90" w:type="dxa"/>
              <w:end w:w="110" w:type="dxa"/>
            </w:tcMar>
          </w:tcPr>
          <w:p>
            <w:r>
              <w:rPr>
                <w:sz w:val="17"/>
              </w:rPr>
              <w:t>Validate, fingerprint and normalize source data</w:t>
            </w:r>
          </w:p>
        </w:tc>
        <w:tc>
          <w:tcPr>
            <w:tcW w:type="dxa" w:w="3096"/>
            <w:vAlign w:val="center"/>
            <w:tcMar>
              <w:top w:w="90" w:type="dxa"/>
              <w:start w:w="110" w:type="dxa"/>
              <w:bottom w:w="90" w:type="dxa"/>
              <w:end w:w="110" w:type="dxa"/>
            </w:tcMar>
          </w:tcPr>
          <w:p>
            <w:r>
              <w:rPr>
                <w:sz w:val="17"/>
              </w:rPr>
              <w:t>READ / CLASSIFY</w:t>
            </w:r>
          </w:p>
        </w:tc>
        <w:tc>
          <w:tcPr>
            <w:tcW w:type="dxa" w:w="2088"/>
            <w:vAlign w:val="center"/>
            <w:tcMar>
              <w:top w:w="90" w:type="dxa"/>
              <w:start w:w="110" w:type="dxa"/>
              <w:bottom w:w="90" w:type="dxa"/>
              <w:end w:w="110" w:type="dxa"/>
            </w:tcMar>
          </w:tcPr>
          <w:p>
            <w:r>
              <w:rPr>
                <w:sz w:val="17"/>
              </w:rPr>
              <w:t>None or structured-fast</w:t>
            </w:r>
          </w:p>
        </w:tc>
      </w:tr>
      <w:tr>
        <w:tc>
          <w:tcPr>
            <w:tcW w:type="dxa" w:w="1584"/>
            <w:vAlign w:val="center"/>
            <w:tcMar>
              <w:top w:w="90" w:type="dxa"/>
              <w:start w:w="110" w:type="dxa"/>
              <w:bottom w:w="90" w:type="dxa"/>
              <w:end w:w="110" w:type="dxa"/>
            </w:tcMar>
          </w:tcPr>
          <w:p>
            <w:r>
              <w:rPr>
                <w:sz w:val="17"/>
              </w:rPr>
              <w:t>Match</w:t>
            </w:r>
          </w:p>
        </w:tc>
        <w:tc>
          <w:tcPr>
            <w:tcW w:type="dxa" w:w="3168"/>
            <w:vAlign w:val="center"/>
            <w:tcMar>
              <w:top w:w="90" w:type="dxa"/>
              <w:start w:w="110" w:type="dxa"/>
              <w:bottom w:w="90" w:type="dxa"/>
              <w:end w:w="110" w:type="dxa"/>
            </w:tcMar>
          </w:tcPr>
          <w:p>
            <w:r>
              <w:rPr>
                <w:sz w:val="17"/>
              </w:rPr>
              <w:t>Generate matching candidates and rationale</w:t>
            </w:r>
          </w:p>
        </w:tc>
        <w:tc>
          <w:tcPr>
            <w:tcW w:type="dxa" w:w="3096"/>
            <w:vAlign w:val="center"/>
            <w:tcMar>
              <w:top w:w="90" w:type="dxa"/>
              <w:start w:w="110" w:type="dxa"/>
              <w:bottom w:w="90" w:type="dxa"/>
              <w:end w:w="110" w:type="dxa"/>
            </w:tcMar>
          </w:tcPr>
          <w:p>
            <w:r>
              <w:rPr>
                <w:sz w:val="17"/>
              </w:rPr>
              <w:t>READ / RECOMMEND</w:t>
            </w:r>
          </w:p>
        </w:tc>
        <w:tc>
          <w:tcPr>
            <w:tcW w:type="dxa" w:w="2088"/>
            <w:vAlign w:val="center"/>
            <w:tcMar>
              <w:top w:w="90" w:type="dxa"/>
              <w:start w:w="110" w:type="dxa"/>
              <w:bottom w:w="90" w:type="dxa"/>
              <w:end w:w="110" w:type="dxa"/>
            </w:tcMar>
          </w:tcPr>
          <w:p>
            <w:r>
              <w:rPr>
                <w:sz w:val="17"/>
              </w:rPr>
              <w:t>reasoning-primary for ambiguity</w:t>
            </w:r>
          </w:p>
        </w:tc>
      </w:tr>
      <w:tr>
        <w:tc>
          <w:tcPr>
            <w:tcW w:type="dxa" w:w="1584"/>
            <w:vAlign w:val="center"/>
            <w:tcMar>
              <w:top w:w="90" w:type="dxa"/>
              <w:start w:w="110" w:type="dxa"/>
              <w:bottom w:w="90" w:type="dxa"/>
              <w:end w:w="110" w:type="dxa"/>
            </w:tcMar>
          </w:tcPr>
          <w:p>
            <w:r>
              <w:rPr>
                <w:sz w:val="17"/>
              </w:rPr>
              <w:t>Reconciliation</w:t>
            </w:r>
          </w:p>
        </w:tc>
        <w:tc>
          <w:tcPr>
            <w:tcW w:type="dxa" w:w="3168"/>
            <w:vAlign w:val="center"/>
            <w:tcMar>
              <w:top w:w="90" w:type="dxa"/>
              <w:start w:w="110" w:type="dxa"/>
              <w:bottom w:w="90" w:type="dxa"/>
              <w:end w:w="110" w:type="dxa"/>
            </w:tcMar>
          </w:tcPr>
          <w:p>
            <w:r>
              <w:rPr>
                <w:sz w:val="17"/>
              </w:rPr>
              <w:t>Explain residuals/differences</w:t>
            </w:r>
          </w:p>
        </w:tc>
        <w:tc>
          <w:tcPr>
            <w:tcW w:type="dxa" w:w="3096"/>
            <w:vAlign w:val="center"/>
            <w:tcMar>
              <w:top w:w="90" w:type="dxa"/>
              <w:start w:w="110" w:type="dxa"/>
              <w:bottom w:w="90" w:type="dxa"/>
              <w:end w:w="110" w:type="dxa"/>
            </w:tcMar>
          </w:tcPr>
          <w:p>
            <w:r>
              <w:rPr>
                <w:sz w:val="17"/>
              </w:rPr>
              <w:t>READ / RECOMMEND</w:t>
            </w:r>
          </w:p>
        </w:tc>
        <w:tc>
          <w:tcPr>
            <w:tcW w:type="dxa" w:w="2088"/>
            <w:vAlign w:val="center"/>
            <w:tcMar>
              <w:top w:w="90" w:type="dxa"/>
              <w:start w:w="110" w:type="dxa"/>
              <w:bottom w:w="90" w:type="dxa"/>
              <w:end w:w="110" w:type="dxa"/>
            </w:tcMar>
          </w:tcPr>
          <w:p>
            <w:r>
              <w:rPr>
                <w:sz w:val="17"/>
              </w:rPr>
              <w:t>reasoning-primary</w:t>
            </w:r>
          </w:p>
        </w:tc>
      </w:tr>
      <w:tr>
        <w:tc>
          <w:tcPr>
            <w:tcW w:type="dxa" w:w="1584"/>
            <w:vAlign w:val="center"/>
            <w:tcMar>
              <w:top w:w="90" w:type="dxa"/>
              <w:start w:w="110" w:type="dxa"/>
              <w:bottom w:w="90" w:type="dxa"/>
              <w:end w:w="110" w:type="dxa"/>
            </w:tcMar>
          </w:tcPr>
          <w:p>
            <w:r>
              <w:rPr>
                <w:sz w:val="17"/>
              </w:rPr>
              <w:t>Cash Allocation</w:t>
            </w:r>
          </w:p>
        </w:tc>
        <w:tc>
          <w:tcPr>
            <w:tcW w:type="dxa" w:w="3168"/>
            <w:vAlign w:val="center"/>
            <w:tcMar>
              <w:top w:w="90" w:type="dxa"/>
              <w:start w:w="110" w:type="dxa"/>
              <w:bottom w:w="90" w:type="dxa"/>
              <w:end w:w="110" w:type="dxa"/>
            </w:tcMar>
          </w:tcPr>
          <w:p>
            <w:r>
              <w:rPr>
                <w:sz w:val="17"/>
              </w:rPr>
              <w:t>Prepare allocation proposal</w:t>
            </w:r>
          </w:p>
        </w:tc>
        <w:tc>
          <w:tcPr>
            <w:tcW w:type="dxa" w:w="3096"/>
            <w:vAlign w:val="center"/>
            <w:tcMar>
              <w:top w:w="90" w:type="dxa"/>
              <w:start w:w="110" w:type="dxa"/>
              <w:bottom w:w="90" w:type="dxa"/>
              <w:end w:w="110" w:type="dxa"/>
            </w:tcMar>
          </w:tcPr>
          <w:p>
            <w:r>
              <w:rPr>
                <w:sz w:val="17"/>
              </w:rPr>
              <w:t>READ / RECOMMEND / PREPARE_WRITE</w:t>
            </w:r>
          </w:p>
        </w:tc>
        <w:tc>
          <w:tcPr>
            <w:tcW w:type="dxa" w:w="2088"/>
            <w:vAlign w:val="center"/>
            <w:tcMar>
              <w:top w:w="90" w:type="dxa"/>
              <w:start w:w="110" w:type="dxa"/>
              <w:bottom w:w="90" w:type="dxa"/>
              <w:end w:w="110" w:type="dxa"/>
            </w:tcMar>
          </w:tcPr>
          <w:p>
            <w:r>
              <w:rPr>
                <w:sz w:val="17"/>
              </w:rPr>
              <w:t>structured-fast / reasoning-primary</w:t>
            </w:r>
          </w:p>
        </w:tc>
      </w:tr>
      <w:tr>
        <w:tc>
          <w:tcPr>
            <w:tcW w:type="dxa" w:w="1584"/>
            <w:vAlign w:val="center"/>
            <w:tcMar>
              <w:top w:w="90" w:type="dxa"/>
              <w:start w:w="110" w:type="dxa"/>
              <w:bottom w:w="90" w:type="dxa"/>
              <w:end w:w="110" w:type="dxa"/>
            </w:tcMar>
          </w:tcPr>
          <w:p>
            <w:r>
              <w:rPr>
                <w:sz w:val="17"/>
              </w:rPr>
              <w:t>Exception</w:t>
            </w:r>
          </w:p>
        </w:tc>
        <w:tc>
          <w:tcPr>
            <w:tcW w:type="dxa" w:w="3168"/>
            <w:vAlign w:val="center"/>
            <w:tcMar>
              <w:top w:w="90" w:type="dxa"/>
              <w:start w:w="110" w:type="dxa"/>
              <w:bottom w:w="90" w:type="dxa"/>
              <w:end w:w="110" w:type="dxa"/>
            </w:tcMar>
          </w:tcPr>
          <w:p>
            <w:r>
              <w:rPr>
                <w:sz w:val="17"/>
              </w:rPr>
              <w:t>Create and route unresolved case</w:t>
            </w:r>
          </w:p>
        </w:tc>
        <w:tc>
          <w:tcPr>
            <w:tcW w:type="dxa" w:w="3096"/>
            <w:vAlign w:val="center"/>
            <w:tcMar>
              <w:top w:w="90" w:type="dxa"/>
              <w:start w:w="110" w:type="dxa"/>
              <w:bottom w:w="90" w:type="dxa"/>
              <w:end w:w="110" w:type="dxa"/>
            </w:tcMar>
          </w:tcPr>
          <w:p>
            <w:r>
              <w:rPr>
                <w:sz w:val="17"/>
              </w:rPr>
              <w:t>READ / CLASSIFY / RECOMMEND</w:t>
            </w:r>
          </w:p>
        </w:tc>
        <w:tc>
          <w:tcPr>
            <w:tcW w:type="dxa" w:w="2088"/>
            <w:vAlign w:val="center"/>
            <w:tcMar>
              <w:top w:w="90" w:type="dxa"/>
              <w:start w:w="110" w:type="dxa"/>
              <w:bottom w:w="90" w:type="dxa"/>
              <w:end w:w="110" w:type="dxa"/>
            </w:tcMar>
          </w:tcPr>
          <w:p>
            <w:r>
              <w:rPr>
                <w:sz w:val="17"/>
              </w:rPr>
              <w:t>structured-fast</w:t>
            </w:r>
          </w:p>
        </w:tc>
      </w:tr>
      <w:tr>
        <w:tc>
          <w:tcPr>
            <w:tcW w:type="dxa" w:w="1584"/>
            <w:vAlign w:val="center"/>
            <w:tcMar>
              <w:top w:w="90" w:type="dxa"/>
              <w:start w:w="110" w:type="dxa"/>
              <w:bottom w:w="90" w:type="dxa"/>
              <w:end w:w="110" w:type="dxa"/>
            </w:tcMar>
          </w:tcPr>
          <w:p>
            <w:r>
              <w:rPr>
                <w:sz w:val="17"/>
              </w:rPr>
              <w:t>Audit</w:t>
            </w:r>
          </w:p>
        </w:tc>
        <w:tc>
          <w:tcPr>
            <w:tcW w:type="dxa" w:w="3168"/>
            <w:vAlign w:val="center"/>
            <w:tcMar>
              <w:top w:w="90" w:type="dxa"/>
              <w:start w:w="110" w:type="dxa"/>
              <w:bottom w:w="90" w:type="dxa"/>
              <w:end w:w="110" w:type="dxa"/>
            </w:tcMar>
          </w:tcPr>
          <w:p>
            <w:r>
              <w:rPr>
                <w:sz w:val="17"/>
              </w:rPr>
              <w:t>Assemble evidence manifest and report inputs</w:t>
            </w:r>
          </w:p>
        </w:tc>
        <w:tc>
          <w:tcPr>
            <w:tcW w:type="dxa" w:w="3096"/>
            <w:vAlign w:val="center"/>
            <w:tcMar>
              <w:top w:w="90" w:type="dxa"/>
              <w:start w:w="110" w:type="dxa"/>
              <w:bottom w:w="90" w:type="dxa"/>
              <w:end w:w="110" w:type="dxa"/>
            </w:tcMar>
          </w:tcPr>
          <w:p>
            <w:r>
              <w:rPr>
                <w:sz w:val="17"/>
              </w:rPr>
              <w:t>READ</w:t>
            </w:r>
          </w:p>
        </w:tc>
        <w:tc>
          <w:tcPr>
            <w:tcW w:type="dxa" w:w="2088"/>
            <w:vAlign w:val="center"/>
            <w:tcMar>
              <w:top w:w="90" w:type="dxa"/>
              <w:start w:w="110" w:type="dxa"/>
              <w:bottom w:w="90" w:type="dxa"/>
              <w:end w:w="110" w:type="dxa"/>
            </w:tcMar>
          </w:tcPr>
          <w:p>
            <w:r>
              <w:rPr>
                <w:sz w:val="17"/>
              </w:rPr>
              <w:t>No authority to change evidence</w:t>
            </w:r>
          </w:p>
        </w:tc>
      </w:tr>
    </w:tbl>
    <w:p/>
    <w:p>
      <w:pPr>
        <w:pStyle w:val="Heading2"/>
      </w:pPr>
      <w:r>
        <w:t>7.2 Agent manifest</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agent:</w:t>
              <w:br/>
              <w:t xml:space="preserve">  id: ledgersight.match</w:t>
              <w:br/>
              <w:t xml:space="preserve">  version: 0.1.0</w:t>
              <w:br/>
              <w:t>purpose: generate_reconciliation_candidates</w:t>
              <w:br/>
              <w:t>datasets: [ar_open_items, bank_receipts, remittance]</w:t>
              <w:br/>
              <w:t>tools: [candidate_search, customer_lookup]</w:t>
              <w:br/>
              <w:t>authority: [READ, RECOMMEND]</w:t>
              <w:br/>
              <w:t>model_route: reasoning-primary</w:t>
              <w:br/>
              <w:t>limits:</w:t>
              <w:br/>
              <w:t xml:space="preserve">  timeout_seconds: 30</w:t>
              <w:br/>
              <w:t xml:space="preserve">  retries: 2</w:t>
              <w:br/>
              <w:t xml:space="preserve">  max_tokens: 5000</w:t>
              <w:br/>
              <w:t xml:space="preserve">  max_cost_usd: 0.15</w:t>
              <w:br/>
              <w:t>evidence:</w:t>
              <w:br/>
              <w:t xml:space="preserve">  capture_input_digest: true</w:t>
              <w:br/>
              <w:t xml:space="preserve">  capture_model: true</w:t>
              <w:br/>
              <w:t xml:space="preserve">  capture_sources: true</w:t>
              <w:br/>
              <w:t xml:space="preserve">  capture_confidence: true</w:t>
            </w:r>
          </w:p>
        </w:tc>
      </w:tr>
    </w:tbl>
    <w:p/>
    <w:p>
      <w:pPr>
        <w:pStyle w:val="Heading2"/>
      </w:pPr>
      <w:r>
        <w:t>7.3 Model Gateway</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02A56"/>
            <w:vAlign w:val="center"/>
            <w:tcMar>
              <w:top w:w="90" w:type="dxa"/>
              <w:start w:w="110" w:type="dxa"/>
              <w:bottom w:w="90" w:type="dxa"/>
              <w:end w:w="110" w:type="dxa"/>
            </w:tcMar>
          </w:tcPr>
          <w:p>
            <w:r>
              <w:rPr>
                <w:b/>
                <w:color w:val="FFFFFF"/>
                <w:sz w:val="17"/>
              </w:rPr>
              <w:t>Logical route</w:t>
            </w:r>
          </w:p>
        </w:tc>
        <w:tc>
          <w:tcPr>
            <w:tcW w:type="dxa" w:w="4464"/>
            <w:shd w:fill="102A56"/>
            <w:vAlign w:val="center"/>
            <w:tcMar>
              <w:top w:w="90" w:type="dxa"/>
              <w:start w:w="110" w:type="dxa"/>
              <w:bottom w:w="90" w:type="dxa"/>
              <w:end w:w="110" w:type="dxa"/>
            </w:tcMar>
          </w:tcPr>
          <w:p>
            <w:r>
              <w:rPr>
                <w:b/>
                <w:color w:val="FFFFFF"/>
                <w:sz w:val="17"/>
              </w:rPr>
              <w:t>Purpose</w:t>
            </w:r>
          </w:p>
        </w:tc>
        <w:tc>
          <w:tcPr>
            <w:tcW w:type="dxa" w:w="3384"/>
            <w:shd w:fill="102A56"/>
            <w:vAlign w:val="center"/>
            <w:tcMar>
              <w:top w:w="90" w:type="dxa"/>
              <w:start w:w="110" w:type="dxa"/>
              <w:bottom w:w="90" w:type="dxa"/>
              <w:end w:w="110" w:type="dxa"/>
            </w:tcMar>
          </w:tcPr>
          <w:p>
            <w:r>
              <w:rPr>
                <w:b/>
                <w:color w:val="FFFFFF"/>
                <w:sz w:val="17"/>
              </w:rPr>
              <w:t>POC provider</w:t>
            </w:r>
          </w:p>
        </w:tc>
      </w:tr>
      <w:tr>
        <w:tc>
          <w:tcPr>
            <w:tcW w:type="dxa" w:w="2088"/>
            <w:vAlign w:val="center"/>
            <w:tcMar>
              <w:top w:w="90" w:type="dxa"/>
              <w:start w:w="110" w:type="dxa"/>
              <w:bottom w:w="90" w:type="dxa"/>
              <w:end w:w="110" w:type="dxa"/>
            </w:tcMar>
          </w:tcPr>
          <w:p>
            <w:r>
              <w:rPr>
                <w:sz w:val="17"/>
              </w:rPr>
              <w:t>reasoning-primary</w:t>
            </w:r>
          </w:p>
        </w:tc>
        <w:tc>
          <w:tcPr>
            <w:tcW w:type="dxa" w:w="4464"/>
            <w:vAlign w:val="center"/>
            <w:tcMar>
              <w:top w:w="90" w:type="dxa"/>
              <w:start w:w="110" w:type="dxa"/>
              <w:bottom w:w="90" w:type="dxa"/>
              <w:end w:w="110" w:type="dxa"/>
            </w:tcMar>
          </w:tcPr>
          <w:p>
            <w:r>
              <w:rPr>
                <w:sz w:val="17"/>
              </w:rPr>
              <w:t>Ambiguous matching, grounded explanation</w:t>
            </w:r>
          </w:p>
        </w:tc>
        <w:tc>
          <w:tcPr>
            <w:tcW w:type="dxa" w:w="3384"/>
            <w:vAlign w:val="center"/>
            <w:tcMar>
              <w:top w:w="90" w:type="dxa"/>
              <w:start w:w="110" w:type="dxa"/>
              <w:bottom w:w="90" w:type="dxa"/>
              <w:end w:w="110" w:type="dxa"/>
            </w:tcMar>
          </w:tcPr>
          <w:p>
            <w:r>
              <w:rPr>
                <w:sz w:val="17"/>
              </w:rPr>
              <w:t>Mock provider first; external adapter optional</w:t>
            </w:r>
          </w:p>
        </w:tc>
      </w:tr>
      <w:tr>
        <w:tc>
          <w:tcPr>
            <w:tcW w:type="dxa" w:w="2088"/>
            <w:vAlign w:val="center"/>
            <w:tcMar>
              <w:top w:w="90" w:type="dxa"/>
              <w:start w:w="110" w:type="dxa"/>
              <w:bottom w:w="90" w:type="dxa"/>
              <w:end w:w="110" w:type="dxa"/>
            </w:tcMar>
          </w:tcPr>
          <w:p>
            <w:r>
              <w:rPr>
                <w:sz w:val="17"/>
              </w:rPr>
              <w:t>structured-fast</w:t>
            </w:r>
          </w:p>
        </w:tc>
        <w:tc>
          <w:tcPr>
            <w:tcW w:type="dxa" w:w="4464"/>
            <w:vAlign w:val="center"/>
            <w:tcMar>
              <w:top w:w="90" w:type="dxa"/>
              <w:start w:w="110" w:type="dxa"/>
              <w:bottom w:w="90" w:type="dxa"/>
              <w:end w:w="110" w:type="dxa"/>
            </w:tcMar>
          </w:tcPr>
          <w:p>
            <w:r>
              <w:rPr>
                <w:sz w:val="17"/>
              </w:rPr>
              <w:t>Classification and schema-constrained outputs</w:t>
            </w:r>
          </w:p>
        </w:tc>
        <w:tc>
          <w:tcPr>
            <w:tcW w:type="dxa" w:w="3384"/>
            <w:vAlign w:val="center"/>
            <w:tcMar>
              <w:top w:w="90" w:type="dxa"/>
              <w:start w:w="110" w:type="dxa"/>
              <w:bottom w:w="90" w:type="dxa"/>
              <w:end w:w="110" w:type="dxa"/>
            </w:tcMar>
          </w:tcPr>
          <w:p>
            <w:r>
              <w:rPr>
                <w:sz w:val="17"/>
              </w:rPr>
              <w:t>Mock provider / low-cost model adapter</w:t>
            </w:r>
          </w:p>
        </w:tc>
      </w:tr>
      <w:tr>
        <w:tc>
          <w:tcPr>
            <w:tcW w:type="dxa" w:w="2088"/>
            <w:vAlign w:val="center"/>
            <w:tcMar>
              <w:top w:w="90" w:type="dxa"/>
              <w:start w:w="110" w:type="dxa"/>
              <w:bottom w:w="90" w:type="dxa"/>
              <w:end w:w="110" w:type="dxa"/>
            </w:tcMar>
          </w:tcPr>
          <w:p>
            <w:r>
              <w:rPr>
                <w:sz w:val="17"/>
              </w:rPr>
              <w:t>embedding-primary</w:t>
            </w:r>
          </w:p>
        </w:tc>
        <w:tc>
          <w:tcPr>
            <w:tcW w:type="dxa" w:w="4464"/>
            <w:vAlign w:val="center"/>
            <w:tcMar>
              <w:top w:w="90" w:type="dxa"/>
              <w:start w:w="110" w:type="dxa"/>
              <w:bottom w:w="90" w:type="dxa"/>
              <w:end w:w="110" w:type="dxa"/>
            </w:tcMar>
          </w:tcPr>
          <w:p>
            <w:r>
              <w:rPr>
                <w:sz w:val="17"/>
              </w:rPr>
              <w:t>Semantic retrieval</w:t>
            </w:r>
          </w:p>
        </w:tc>
        <w:tc>
          <w:tcPr>
            <w:tcW w:type="dxa" w:w="3384"/>
            <w:vAlign w:val="center"/>
            <w:tcMar>
              <w:top w:w="90" w:type="dxa"/>
              <w:start w:w="110" w:type="dxa"/>
              <w:bottom w:w="90" w:type="dxa"/>
              <w:end w:w="110" w:type="dxa"/>
            </w:tcMar>
          </w:tcPr>
          <w:p>
            <w:r>
              <w:rPr>
                <w:sz w:val="17"/>
              </w:rPr>
              <w:t>Configurable embedding adapter</w:t>
            </w:r>
          </w:p>
        </w:tc>
      </w:tr>
      <w:tr>
        <w:tc>
          <w:tcPr>
            <w:tcW w:type="dxa" w:w="2088"/>
            <w:vAlign w:val="center"/>
            <w:tcMar>
              <w:top w:w="90" w:type="dxa"/>
              <w:start w:w="110" w:type="dxa"/>
              <w:bottom w:w="90" w:type="dxa"/>
              <w:end w:w="110" w:type="dxa"/>
            </w:tcMar>
          </w:tcPr>
          <w:p>
            <w:r>
              <w:rPr>
                <w:sz w:val="17"/>
              </w:rPr>
              <w:t>local-sensitive</w:t>
            </w:r>
          </w:p>
        </w:tc>
        <w:tc>
          <w:tcPr>
            <w:tcW w:type="dxa" w:w="4464"/>
            <w:vAlign w:val="center"/>
            <w:tcMar>
              <w:top w:w="90" w:type="dxa"/>
              <w:start w:w="110" w:type="dxa"/>
              <w:bottom w:w="90" w:type="dxa"/>
              <w:end w:w="110" w:type="dxa"/>
            </w:tcMar>
          </w:tcPr>
          <w:p>
            <w:r>
              <w:rPr>
                <w:sz w:val="17"/>
              </w:rPr>
              <w:t>Optional sensitive/local inference</w:t>
            </w:r>
          </w:p>
        </w:tc>
        <w:tc>
          <w:tcPr>
            <w:tcW w:type="dxa" w:w="3384"/>
            <w:vAlign w:val="center"/>
            <w:tcMar>
              <w:top w:w="90" w:type="dxa"/>
              <w:start w:w="110" w:type="dxa"/>
              <w:bottom w:w="90" w:type="dxa"/>
              <w:end w:w="110" w:type="dxa"/>
            </w:tcMar>
          </w:tcPr>
          <w:p>
            <w:r>
              <w:rPr>
                <w:sz w:val="17"/>
              </w:rPr>
              <w:t>Deferred / adapter contract only</w:t>
            </w:r>
          </w:p>
        </w:tc>
      </w:tr>
    </w:tbl>
    <w:p/>
    <w:p>
      <w:r>
        <w:t>Every invocation records provider, model, model version, prompt-template version, input/output digests, latency, token usage, estimated cost, confidence and source references. Model output can propose an action but cannot mint authority.</w:t>
      </w:r>
    </w:p>
    <w:p>
      <w:pPr>
        <w:pStyle w:val="Heading1"/>
      </w:pPr>
      <w:r>
        <w:t>8. Deterministic Governance Gate</w:t>
      </w:r>
    </w:p>
    <w:p>
      <w:pPr>
        <w:pStyle w:val="Heading2"/>
      </w:pPr>
      <w:r>
        <w:t>8.1 Policy Engine</w:t>
      </w:r>
    </w:p>
    <w:p>
      <w:r>
        <w:t>Policy evaluation must be deterministic for controls that carry authority. A rule engine such as OPA/Rego is suitable, but the API contract should remain implementation-neutral.</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PolicyDecision {</w:t>
              <w:br/>
              <w:t xml:space="preserve">  decision: ALLOW | ESCALATE | DENY,</w:t>
              <w:br/>
              <w:t xml:space="preserve">  policy_id, policy_version,</w:t>
              <w:br/>
              <w:t xml:space="preserve">  reason_codes[],</w:t>
              <w:br/>
              <w:t xml:space="preserve">  required_approval?,</w:t>
              <w:br/>
              <w:t xml:space="preserve">  evaluated_inputs_digest,</w:t>
              <w:br/>
              <w:t xml:space="preserve">  evaluated_at</w:t>
              <w:br/>
              <w:t>}</w:t>
            </w:r>
          </w:p>
        </w:tc>
      </w:tr>
    </w:tbl>
    <w:p/>
    <w:p>
      <w:pPr>
        <w:pStyle w:val="Heading2"/>
      </w:pPr>
      <w:r>
        <w:t>8.2 Authority Service</w:t>
      </w:r>
    </w:p>
    <w:p>
      <w:r>
        <w:t>Policy answers whether an action is permissible under rules. Authority answers whether the specific human or agent is empowered to perform that action. Minimum verbs: READ, CLASSIFY, RECOMMEND, PREPARE_WRITE, APPROVE, EXECUTE.</w:t>
      </w:r>
    </w:p>
    <w:p>
      <w:pPr>
        <w:pStyle w:val="Heading2"/>
      </w:pPr>
      <w:r>
        <w:t>8.3 Approval Service</w:t>
      </w:r>
    </w:p>
    <w:p>
      <w:pPr>
        <w:pStyle w:val="ListBullet"/>
      </w:pPr>
      <w:r>
        <w:t>APPROVE, REJECT and OVERRIDE are distinct persisted operations.</w:t>
      </w:r>
    </w:p>
    <w:p>
      <w:pPr>
        <w:pStyle w:val="ListBullet"/>
      </w:pPr>
      <w:r>
        <w:t>Override requires reason code and business justification.</w:t>
      </w:r>
    </w:p>
    <w:p>
      <w:pPr>
        <w:pStyle w:val="ListBullet"/>
      </w:pPr>
      <w:r>
        <w:t>Maker-checker/segregation-of-duties is evaluated independently of model output.</w:t>
      </w:r>
    </w:p>
    <w:p>
      <w:pPr>
        <w:pStyle w:val="ListBullet"/>
      </w:pPr>
      <w:r>
        <w:t>Approval records capture approver identity, authority source, material shown, timestamp and decision.</w:t>
      </w:r>
    </w:p>
    <w:p>
      <w:pPr>
        <w:pStyle w:val="Heading2"/>
      </w:pPr>
      <w:r>
        <w:t>8.4 Short-lived Action Token</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w:t>
              <w:br/>
              <w:t xml:space="preserve">  "sub": "cash-allocation-agent",</w:t>
              <w:br/>
              <w:t xml:space="preserve">  "tenant": "demo-bank",</w:t>
              <w:br/>
              <w:t xml:space="preserve">  "action": "POST_CASH_APPLICATION",</w:t>
              <w:br/>
              <w:t xml:space="preserve">  "subject": "RCPT-88381",</w:t>
              <w:br/>
              <w:t xml:space="preserve">  "policy_decision": "pd_...",</w:t>
              <w:br/>
              <w:t xml:space="preserve">  "approval": "apr_...",</w:t>
              <w:br/>
              <w:t xml:space="preserve">  "payload_digest": "sha256:...",</w:t>
              <w:br/>
              <w:t xml:space="preserve">  "idempotency_key": "idem_...",</w:t>
              <w:br/>
              <w:t xml:space="preserve">  "exp": "short-lived"</w:t>
              <w:br/>
              <w:t>}</w:t>
            </w:r>
          </w:p>
        </w:tc>
      </w:tr>
    </w:tbl>
    <w:p/>
    <w:p>
      <w:pPr>
        <w:pStyle w:val="Heading1"/>
      </w:pPr>
      <w:r>
        <w:t>9. Execution Gateway and Evidence-First Commit</w:t>
      </w:r>
    </w:p>
    <w:p>
      <w:r>
        <w:t>Agents do not hold direct write credentials. All consequential side effects pass through the Execution Gateway.</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Agent proposal</w:t>
              <w:br/>
              <w:t xml:space="preserve">  -&gt; Policy + Authority</w:t>
              <w:br/>
              <w:t xml:space="preserve">  -&gt; Human approval if required</w:t>
              <w:br/>
              <w:t xml:space="preserve">  -&gt; PreparedAction + payload digest</w:t>
              <w:br/>
              <w:t xml:space="preserve">  -&gt; Evidence PRE-COMMIT</w:t>
              <w:br/>
              <w:t xml:space="preserve">  -&gt; validate Action Token + idempotency</w:t>
              <w:br/>
              <w:t xml:space="preserve">  -&gt; Execution Gateway</w:t>
              <w:br/>
              <w:t xml:space="preserve">  -&gt; Mock SAP / ERP</w:t>
              <w:br/>
              <w:t xml:space="preserve">  -&gt; source acknowledgement</w:t>
              <w:br/>
              <w:t xml:space="preserve">  -&gt; Evidence COMMIT</w:t>
              <w:br/>
              <w:t xml:space="preserve">  -&gt; outcome / ROI update</w:t>
            </w:r>
          </w:p>
        </w:tc>
      </w:tr>
    </w:tbl>
    <w:p/>
    <w:tbl>
      <w:tblPr>
        <w:tblStyle w:val="TableGrid"/>
        <w:tblW w:type="auto" w:w="0"/>
        <w:jc w:val="center"/>
        <w:tblLook w:firstColumn="1" w:firstRow="1" w:lastColumn="0" w:lastRow="0" w:noHBand="0" w:noVBand="1" w:val="04A0"/>
      </w:tblPr>
      <w:tblGrid>
        <w:gridCol w:w="10166"/>
      </w:tblGrid>
      <w:tr>
        <w:tc>
          <w:tcPr>
            <w:tcW w:type="dxa" w:w="10166"/>
            <w:shd w:fill="FFF3E6"/>
            <w:tcMar>
              <w:top w:w="140" w:type="dxa"/>
              <w:start w:w="160" w:type="dxa"/>
              <w:bottom w:w="140" w:type="dxa"/>
              <w:end w:w="160" w:type="dxa"/>
            </w:tcMar>
          </w:tcPr>
          <w:p>
            <w:r>
              <w:rPr>
                <w:b/>
                <w:color w:val="102A56"/>
                <w:sz w:val="22"/>
              </w:rPr>
              <w:t>Non-negotiable failure behavior</w:t>
              <w:br/>
            </w:r>
            <w:r>
              <w:rPr>
                <w:color w:val="172033"/>
                <w:sz w:val="20"/>
              </w:rPr>
              <w:t>If evidence pre-commit fails, the material action is blocked. If the execution call is retried with the same idempotency key, it must not create a duplicate side effect.</w:t>
            </w:r>
          </w:p>
        </w:tc>
      </w:tr>
    </w:tbl>
    <w:p/>
    <w:p>
      <w:pPr>
        <w:pStyle w:val="Heading1"/>
      </w:pPr>
      <w:r>
        <w:t>10. Evidence Fabric Technical Design</w:t>
      </w:r>
    </w:p>
    <w:p>
      <w:r>
        <w:t>Evidence Fabric is a transaction-evidence system rather than an application log. It must reconstruct who/what acted, on which source context, under which model/policy/authority, what human decision occurred, what action executed, and what source acknowledgement resulted.</w:t>
      </w:r>
    </w:p>
    <w:p>
      <w:pPr>
        <w:pStyle w:val="Heading2"/>
      </w:pPr>
      <w:r>
        <w:t>10.1 Canonical record</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EvidenceRecord {</w:t>
              <w:br/>
              <w:t xml:space="preserve">  evidence_id, tenant_id, environment_id, trace_id,</w:t>
              <w:br/>
              <w:t xml:space="preserve">  subject {type,id},</w:t>
              <w:br/>
              <w:t xml:space="preserve">  source_refs[], input_digest,</w:t>
              <w:br/>
              <w:t xml:space="preserve">  actor {type,id,version},</w:t>
              <w:br/>
              <w:t xml:space="preserve">  model {route,provider,model,version,prompt_template_version},</w:t>
              <w:br/>
              <w:t xml:space="preserve">  recommendation {action,confidence,rationale,reason_codes[]},</w:t>
              <w:br/>
              <w:t xml:space="preserve">  policy {decision,id,version,reason_codes[]},</w:t>
              <w:br/>
              <w:t xml:space="preserve">  authority {decision,authority_source},</w:t>
              <w:br/>
              <w:t xml:space="preserve">  human_decision?,</w:t>
              <w:br/>
              <w:t xml:space="preserve">  prepared_action_digest?,</w:t>
              <w:br/>
              <w:t xml:space="preserve">  execution {action_type, acknowledgement_ref, result_digest}?,</w:t>
              <w:br/>
              <w:t xml:space="preserve">  previous_hash, digest, serializer_version,</w:t>
              <w:br/>
              <w:t xml:space="preserve">  signature_ref, signing_key_version,</w:t>
              <w:br/>
              <w:t xml:space="preserve">  created_at</w:t>
              <w:br/>
              <w:t>}</w:t>
            </w:r>
          </w:p>
        </w:tc>
      </w:tr>
    </w:tbl>
    <w:p/>
    <w:p>
      <w:pPr>
        <w:pStyle w:val="Heading2"/>
      </w:pPr>
      <w:r>
        <w:t>10.2 Integrity pipeline</w:t>
      </w:r>
    </w:p>
    <w:p>
      <w:pPr>
        <w:pStyle w:val="ListBullet"/>
      </w:pPr>
      <w:r>
        <w:t>Deterministic canonical JSON serialization with explicit serializer version.</w:t>
      </w:r>
    </w:p>
    <w:p>
      <w:pPr>
        <w:pStyle w:val="ListBullet"/>
      </w:pPr>
      <w:r>
        <w:t>SHA-256 digest of canonical payload.</w:t>
      </w:r>
    </w:p>
    <w:p>
      <w:pPr>
        <w:pStyle w:val="ListBullet"/>
      </w:pPr>
      <w:r>
        <w:t>Optional/required previous-record hash for chain profile.</w:t>
      </w:r>
    </w:p>
    <w:p>
      <w:pPr>
        <w:pStyle w:val="ListBullet"/>
      </w:pPr>
      <w:r>
        <w:t>KMS/HSM-backed signature of digest.</w:t>
      </w:r>
    </w:p>
    <w:p>
      <w:pPr>
        <w:pStyle w:val="ListBullet"/>
      </w:pPr>
      <w:r>
        <w:t>Store key/version metadata needed for independent verification.</w:t>
      </w:r>
    </w:p>
    <w:p>
      <w:pPr>
        <w:pStyle w:val="ListBullet"/>
      </w:pPr>
      <w:r>
        <w:t>Write to versioned/object-locked storage where immutability is claimed.</w:t>
      </w:r>
    </w:p>
    <w:p>
      <w:pPr>
        <w:pStyle w:val="ListBullet"/>
      </w:pPr>
      <w:r>
        <w:t>Expose Verify API that recomputes digest, validates chain and checks signature.</w:t>
      </w:r>
    </w:p>
    <w:p>
      <w:pPr>
        <w:pStyle w:val="Heading1"/>
      </w:pPr>
      <w:r>
        <w:t>11. Diagnosis, Readiness and Report Generation</w:t>
      </w:r>
    </w:p>
    <w:p>
      <w:r>
        <w:t>Diagnosis is the sales-entry and governance-onboarding workflow. It should be simple for clients but structured enough that its facts can later drive Workflow Pack activation, policy configuration and readiness reporting.</w:t>
      </w:r>
    </w:p>
    <w:p>
      <w:pPr>
        <w:pStyle w:val="Heading2"/>
      </w:pPr>
      <w:r>
        <w:t>11.1 Diagnosis capture model</w:t>
      </w:r>
    </w:p>
    <w:tbl>
      <w:tblPr>
        <w:tblStyle w:val="TableGrid"/>
        <w:tblW w:type="auto" w:w="0"/>
        <w:jc w:val="center"/>
        <w:tblLook w:firstColumn="1" w:firstRow="1" w:lastColumn="0" w:lastRow="0" w:noHBand="0" w:noVBand="1" w:val="04A0"/>
      </w:tblPr>
      <w:tblGrid>
        <w:gridCol w:w="5083"/>
        <w:gridCol w:w="5083"/>
      </w:tblGrid>
      <w:tr>
        <w:tc>
          <w:tcPr>
            <w:tcW w:type="dxa" w:w="2016"/>
            <w:shd w:fill="102A56"/>
            <w:vAlign w:val="center"/>
            <w:tcMar>
              <w:top w:w="90" w:type="dxa"/>
              <w:start w:w="110" w:type="dxa"/>
              <w:bottom w:w="90" w:type="dxa"/>
              <w:end w:w="110" w:type="dxa"/>
            </w:tcMar>
          </w:tcPr>
          <w:p>
            <w:r>
              <w:rPr>
                <w:b/>
                <w:color w:val="FFFFFF"/>
                <w:sz w:val="17"/>
              </w:rPr>
              <w:t>Domain</w:t>
            </w:r>
          </w:p>
        </w:tc>
        <w:tc>
          <w:tcPr>
            <w:tcW w:type="dxa" w:w="8064"/>
            <w:shd w:fill="102A56"/>
            <w:vAlign w:val="center"/>
            <w:tcMar>
              <w:top w:w="90" w:type="dxa"/>
              <w:start w:w="110" w:type="dxa"/>
              <w:bottom w:w="90" w:type="dxa"/>
              <w:end w:w="110" w:type="dxa"/>
            </w:tcMar>
          </w:tcPr>
          <w:p>
            <w:r>
              <w:rPr>
                <w:b/>
                <w:color w:val="FFFFFF"/>
                <w:sz w:val="17"/>
              </w:rPr>
              <w:t>Captured fields</w:t>
            </w:r>
          </w:p>
        </w:tc>
      </w:tr>
      <w:tr>
        <w:tc>
          <w:tcPr>
            <w:tcW w:type="dxa" w:w="2016"/>
            <w:vAlign w:val="center"/>
            <w:tcMar>
              <w:top w:w="90" w:type="dxa"/>
              <w:start w:w="110" w:type="dxa"/>
              <w:bottom w:w="90" w:type="dxa"/>
              <w:end w:w="110" w:type="dxa"/>
            </w:tcMar>
          </w:tcPr>
          <w:p>
            <w:r>
              <w:rPr>
                <w:sz w:val="17"/>
              </w:rPr>
              <w:t>System identity</w:t>
            </w:r>
          </w:p>
        </w:tc>
        <w:tc>
          <w:tcPr>
            <w:tcW w:type="dxa" w:w="8064"/>
            <w:vAlign w:val="center"/>
            <w:tcMar>
              <w:top w:w="90" w:type="dxa"/>
              <w:start w:w="110" w:type="dxa"/>
              <w:bottom w:w="90" w:type="dxa"/>
              <w:end w:w="110" w:type="dxa"/>
            </w:tcMar>
          </w:tcPr>
          <w:p>
            <w:r>
              <w:rPr>
                <w:sz w:val="17"/>
              </w:rPr>
              <w:t>System/use-case name, owner, provider/deployer/importer/distributor role as applicable, version, environment, intended purpose</w:t>
            </w:r>
          </w:p>
        </w:tc>
      </w:tr>
      <w:tr>
        <w:tc>
          <w:tcPr>
            <w:tcW w:type="dxa" w:w="2016"/>
            <w:vAlign w:val="center"/>
            <w:tcMar>
              <w:top w:w="90" w:type="dxa"/>
              <w:start w:w="110" w:type="dxa"/>
              <w:bottom w:w="90" w:type="dxa"/>
              <w:end w:w="110" w:type="dxa"/>
            </w:tcMar>
          </w:tcPr>
          <w:p>
            <w:r>
              <w:rPr>
                <w:sz w:val="17"/>
              </w:rPr>
              <w:t>AI components</w:t>
            </w:r>
          </w:p>
        </w:tc>
        <w:tc>
          <w:tcPr>
            <w:tcW w:type="dxa" w:w="8064"/>
            <w:vAlign w:val="center"/>
            <w:tcMar>
              <w:top w:w="90" w:type="dxa"/>
              <w:start w:w="110" w:type="dxa"/>
              <w:bottom w:w="90" w:type="dxa"/>
              <w:end w:w="110" w:type="dxa"/>
            </w:tcMar>
          </w:tcPr>
          <w:p>
            <w:r>
              <w:rPr>
                <w:sz w:val="17"/>
              </w:rPr>
              <w:t>Models, agents, tools, external services, prompt/RAG sources</w:t>
            </w:r>
          </w:p>
        </w:tc>
      </w:tr>
      <w:tr>
        <w:tc>
          <w:tcPr>
            <w:tcW w:type="dxa" w:w="2016"/>
            <w:vAlign w:val="center"/>
            <w:tcMar>
              <w:top w:w="90" w:type="dxa"/>
              <w:start w:w="110" w:type="dxa"/>
              <w:bottom w:w="90" w:type="dxa"/>
              <w:end w:w="110" w:type="dxa"/>
            </w:tcMar>
          </w:tcPr>
          <w:p>
            <w:r>
              <w:rPr>
                <w:sz w:val="17"/>
              </w:rPr>
              <w:t>Data</w:t>
            </w:r>
          </w:p>
        </w:tc>
        <w:tc>
          <w:tcPr>
            <w:tcW w:type="dxa" w:w="8064"/>
            <w:vAlign w:val="center"/>
            <w:tcMar>
              <w:top w:w="90" w:type="dxa"/>
              <w:start w:w="110" w:type="dxa"/>
              <w:bottom w:w="90" w:type="dxa"/>
              <w:end w:w="110" w:type="dxa"/>
            </w:tcMar>
          </w:tcPr>
          <w:p>
            <w:r>
              <w:rPr>
                <w:sz w:val="17"/>
              </w:rPr>
              <w:t>Data classes, personal/special-category indicators, residency, source systems, retention, training/use purpose</w:t>
            </w:r>
          </w:p>
        </w:tc>
      </w:tr>
      <w:tr>
        <w:tc>
          <w:tcPr>
            <w:tcW w:type="dxa" w:w="2016"/>
            <w:vAlign w:val="center"/>
            <w:tcMar>
              <w:top w:w="90" w:type="dxa"/>
              <w:start w:w="110" w:type="dxa"/>
              <w:bottom w:w="90" w:type="dxa"/>
              <w:end w:w="110" w:type="dxa"/>
            </w:tcMar>
          </w:tcPr>
          <w:p>
            <w:r>
              <w:rPr>
                <w:sz w:val="17"/>
              </w:rPr>
              <w:t>Actions</w:t>
            </w:r>
          </w:p>
        </w:tc>
        <w:tc>
          <w:tcPr>
            <w:tcW w:type="dxa" w:w="8064"/>
            <w:vAlign w:val="center"/>
            <w:tcMar>
              <w:top w:w="90" w:type="dxa"/>
              <w:start w:w="110" w:type="dxa"/>
              <w:bottom w:w="90" w:type="dxa"/>
              <w:end w:w="110" w:type="dxa"/>
            </w:tcMar>
          </w:tcPr>
          <w:p>
            <w:r>
              <w:rPr>
                <w:sz w:val="17"/>
              </w:rPr>
              <w:t>Read, recommend, contact, approve, write, post, pay, change master data, safety-relevant action</w:t>
            </w:r>
          </w:p>
        </w:tc>
      </w:tr>
      <w:tr>
        <w:tc>
          <w:tcPr>
            <w:tcW w:type="dxa" w:w="2016"/>
            <w:vAlign w:val="center"/>
            <w:tcMar>
              <w:top w:w="90" w:type="dxa"/>
              <w:start w:w="110" w:type="dxa"/>
              <w:bottom w:w="90" w:type="dxa"/>
              <w:end w:w="110" w:type="dxa"/>
            </w:tcMar>
          </w:tcPr>
          <w:p>
            <w:r>
              <w:rPr>
                <w:sz w:val="17"/>
              </w:rPr>
              <w:t>People</w:t>
            </w:r>
          </w:p>
        </w:tc>
        <w:tc>
          <w:tcPr>
            <w:tcW w:type="dxa" w:w="8064"/>
            <w:vAlign w:val="center"/>
            <w:tcMar>
              <w:top w:w="90" w:type="dxa"/>
              <w:start w:w="110" w:type="dxa"/>
              <w:bottom w:w="90" w:type="dxa"/>
              <w:end w:w="110" w:type="dxa"/>
            </w:tcMar>
          </w:tcPr>
          <w:p>
            <w:r>
              <w:rPr>
                <w:sz w:val="17"/>
              </w:rPr>
              <w:t>Users, affected persons, approvers, operators, oversight roles</w:t>
            </w:r>
          </w:p>
        </w:tc>
      </w:tr>
      <w:tr>
        <w:tc>
          <w:tcPr>
            <w:tcW w:type="dxa" w:w="2016"/>
            <w:vAlign w:val="center"/>
            <w:tcMar>
              <w:top w:w="90" w:type="dxa"/>
              <w:start w:w="110" w:type="dxa"/>
              <w:bottom w:w="90" w:type="dxa"/>
              <w:end w:w="110" w:type="dxa"/>
            </w:tcMar>
          </w:tcPr>
          <w:p>
            <w:r>
              <w:rPr>
                <w:sz w:val="17"/>
              </w:rPr>
              <w:t>Controls</w:t>
            </w:r>
          </w:p>
        </w:tc>
        <w:tc>
          <w:tcPr>
            <w:tcW w:type="dxa" w:w="8064"/>
            <w:vAlign w:val="center"/>
            <w:tcMar>
              <w:top w:w="90" w:type="dxa"/>
              <w:start w:w="110" w:type="dxa"/>
              <w:bottom w:w="90" w:type="dxa"/>
              <w:end w:w="110" w:type="dxa"/>
            </w:tcMar>
          </w:tcPr>
          <w:p>
            <w:r>
              <w:rPr>
                <w:sz w:val="17"/>
              </w:rPr>
              <w:t>IAM, approval, logging, monitoring, testing, incident response, human oversight, cybersecurity</w:t>
            </w:r>
          </w:p>
        </w:tc>
      </w:tr>
      <w:tr>
        <w:tc>
          <w:tcPr>
            <w:tcW w:type="dxa" w:w="2016"/>
            <w:vAlign w:val="center"/>
            <w:tcMar>
              <w:top w:w="90" w:type="dxa"/>
              <w:start w:w="110" w:type="dxa"/>
              <w:bottom w:w="90" w:type="dxa"/>
              <w:end w:w="110" w:type="dxa"/>
            </w:tcMar>
          </w:tcPr>
          <w:p>
            <w:r>
              <w:rPr>
                <w:sz w:val="17"/>
              </w:rPr>
              <w:t>Evidence</w:t>
            </w:r>
          </w:p>
        </w:tc>
        <w:tc>
          <w:tcPr>
            <w:tcW w:type="dxa" w:w="8064"/>
            <w:vAlign w:val="center"/>
            <w:tcMar>
              <w:top w:w="90" w:type="dxa"/>
              <w:start w:w="110" w:type="dxa"/>
              <w:bottom w:w="90" w:type="dxa"/>
              <w:end w:w="110" w:type="dxa"/>
            </w:tcMar>
          </w:tcPr>
          <w:p>
            <w:r>
              <w:rPr>
                <w:sz w:val="17"/>
              </w:rPr>
              <w:t>Policies, test artefacts, logs, approvals, model documentation, training records, incident records</w:t>
            </w:r>
          </w:p>
        </w:tc>
      </w:tr>
      <w:tr>
        <w:tc>
          <w:tcPr>
            <w:tcW w:type="dxa" w:w="2016"/>
            <w:vAlign w:val="center"/>
            <w:tcMar>
              <w:top w:w="90" w:type="dxa"/>
              <w:start w:w="110" w:type="dxa"/>
              <w:bottom w:w="90" w:type="dxa"/>
              <w:end w:w="110" w:type="dxa"/>
            </w:tcMar>
          </w:tcPr>
          <w:p>
            <w:r>
              <w:rPr>
                <w:sz w:val="17"/>
              </w:rPr>
              <w:t>Business</w:t>
            </w:r>
          </w:p>
        </w:tc>
        <w:tc>
          <w:tcPr>
            <w:tcW w:type="dxa" w:w="8064"/>
            <w:vAlign w:val="center"/>
            <w:tcMar>
              <w:top w:w="90" w:type="dxa"/>
              <w:start w:w="110" w:type="dxa"/>
              <w:bottom w:w="90" w:type="dxa"/>
              <w:end w:w="110" w:type="dxa"/>
            </w:tcMar>
          </w:tcPr>
          <w:p>
            <w:r>
              <w:rPr>
                <w:sz w:val="17"/>
              </w:rPr>
              <w:t>Process volume, materiality, manual effort, failure cost, desired outcome</w:t>
            </w:r>
          </w:p>
        </w:tc>
      </w:tr>
    </w:tbl>
    <w:p/>
    <w:p>
      <w:pPr>
        <w:pStyle w:val="Heading2"/>
      </w:pPr>
      <w:r>
        <w:t>11.2 Readiness engine</w:t>
      </w:r>
    </w:p>
    <w:p>
      <w:r>
        <w:t>The readiness engine should use a versioned control catalogue. Each requirement/control mapping stores applicability, evidence requirements, current evidence references, status, gap, owner and remediation action. It must distinguish legal applicability from engineering best-practice controls.</w:t>
      </w:r>
    </w:p>
    <w:tbl>
      <w:tblPr>
        <w:tblStyle w:val="TableGrid"/>
        <w:tblW w:type="auto" w:w="0"/>
        <w:tblLook w:firstColumn="1" w:firstRow="1" w:lastColumn="0" w:lastRow="0" w:noHBand="0" w:noVBand="1" w:val="04A0"/>
      </w:tblPr>
      <w:tblGrid>
        <w:gridCol w:w="10166"/>
      </w:tblGrid>
      <w:tr>
        <w:tc>
          <w:tcPr>
            <w:tcW w:type="dxa" w:w="10166"/>
            <w:shd w:fill="F2F4F7"/>
            <w:tcMar>
              <w:top w:w="110" w:type="dxa"/>
              <w:start w:w="130" w:type="dxa"/>
              <w:bottom w:w="110" w:type="dxa"/>
              <w:end w:w="130" w:type="dxa"/>
            </w:tcMar>
          </w:tcPr>
          <w:p>
            <w:pPr>
              <w:pStyle w:val="Code"/>
            </w:pPr>
            <w:r>
              <w:rPr>
                <w:rFonts w:ascii="Aptos Mono" w:hAnsi="Aptos Mono"/>
                <w:sz w:val="16"/>
              </w:rPr>
              <w:t>ReadinessControl {</w:t>
              <w:br/>
              <w:t xml:space="preserve">  control_id, framework, article_reference?,</w:t>
              <w:br/>
              <w:t xml:space="preserve">  applicability: APPLICABLE | NOT_APPLICABLE | REVIEW,</w:t>
              <w:br/>
              <w:t xml:space="preserve">  role_scope[], risk_scope[],</w:t>
              <w:br/>
              <w:t xml:space="preserve">  required_evidence_types[],</w:t>
              <w:br/>
              <w:t xml:space="preserve">  evidence_refs[],</w:t>
              <w:br/>
              <w:t xml:space="preserve">  status: MET | PARTIAL | GAP | NOT_ASSESSED,</w:t>
              <w:br/>
              <w:t xml:space="preserve">  rationale, owner, target_date,</w:t>
              <w:br/>
              <w:t xml:space="preserve">  source_version</w:t>
              <w:br/>
              <w:t>}</w:t>
            </w:r>
          </w:p>
        </w:tc>
      </w:tr>
    </w:tbl>
    <w:p/>
    <w:p>
      <w:pPr>
        <w:pStyle w:val="Heading2"/>
      </w:pPr>
      <w:r>
        <w:t>11.3 Report outputs</w:t>
      </w:r>
    </w:p>
    <w:p>
      <w:pPr>
        <w:pStyle w:val="ListBullet"/>
      </w:pPr>
      <w:r>
        <w:t>Executive AI Architecture Diagnosis Report</w:t>
      </w:r>
    </w:p>
    <w:p>
      <w:pPr>
        <w:pStyle w:val="ListBullet"/>
      </w:pPr>
      <w:r>
        <w:t>Risk &amp; Role Classification Report</w:t>
      </w:r>
    </w:p>
    <w:p>
      <w:pPr>
        <w:pStyle w:val="ListBullet"/>
      </w:pPr>
      <w:r>
        <w:t>Readiness Gap &amp; Mitigation Report</w:t>
      </w:r>
    </w:p>
    <w:p>
      <w:pPr>
        <w:pStyle w:val="ListBullet"/>
      </w:pPr>
      <w:r>
        <w:t>Article-by-Article / control matrix for applicable EU AI Act obligations</w:t>
      </w:r>
    </w:p>
    <w:p>
      <w:pPr>
        <w:pStyle w:val="ListBullet"/>
      </w:pPr>
      <w:r>
        <w:t>Evidence Pack with verification manifest</w:t>
      </w:r>
    </w:p>
    <w:p>
      <w:pPr>
        <w:pStyle w:val="ListBullet"/>
      </w:pPr>
      <w:r>
        <w:t>Logging / traceability report</w:t>
      </w:r>
    </w:p>
    <w:p>
      <w:pPr>
        <w:pStyle w:val="ListBullet"/>
      </w:pPr>
      <w:r>
        <w:t>Human oversight and approval report</w:t>
      </w:r>
    </w:p>
    <w:p>
      <w:pPr>
        <w:pStyle w:val="ListBullet"/>
      </w:pPr>
      <w:r>
        <w:t>Cybersecurity / robustness evidence report</w:t>
      </w:r>
    </w:p>
    <w:p>
      <w:pPr>
        <w:pStyle w:val="ListBullet"/>
      </w:pPr>
      <w:r>
        <w:t>Technical documentation support pack (where applicable)</w:t>
      </w:r>
    </w:p>
    <w:p>
      <w:pPr>
        <w:pStyle w:val="ListBullet"/>
      </w:pPr>
      <w:r>
        <w:t>Fundamental Rights Impact Assessment support pack where the customer determines it is required</w:t>
      </w:r>
    </w:p>
    <w:p>
      <w:pPr>
        <w:pStyle w:val="ListBullet"/>
      </w:pPr>
      <w:r>
        <w:t>Audit export: PDF / JSON / CSV / API</w:t>
      </w:r>
    </w:p>
    <w:p>
      <w:pPr>
        <w:pStyle w:val="Heading1"/>
      </w:pPr>
      <w:r>
        <w:t>12. EU AI Act Readiness Mapping - POC Scope</w:t>
      </w:r>
    </w:p>
    <w:p>
      <w:r>
        <w:t>The product should support evidence preparation and control mapping; it must not state that TrustOps itself determines legal compliance. Applicability depends on the customer role, system purpose, risk classification and final legal interpretation.</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02A56"/>
            <w:vAlign w:val="center"/>
            <w:tcMar>
              <w:top w:w="90" w:type="dxa"/>
              <w:start w:w="110" w:type="dxa"/>
              <w:bottom w:w="90" w:type="dxa"/>
              <w:end w:w="110" w:type="dxa"/>
            </w:tcMar>
          </w:tcPr>
          <w:p>
            <w:r>
              <w:rPr>
                <w:b/>
                <w:color w:val="FFFFFF"/>
                <w:sz w:val="16"/>
              </w:rPr>
              <w:t>EU AI Act area</w:t>
            </w:r>
          </w:p>
        </w:tc>
        <w:tc>
          <w:tcPr>
            <w:tcW w:type="dxa" w:w="4824"/>
            <w:shd w:fill="102A56"/>
            <w:vAlign w:val="center"/>
            <w:tcMar>
              <w:top w:w="90" w:type="dxa"/>
              <w:start w:w="110" w:type="dxa"/>
              <w:bottom w:w="90" w:type="dxa"/>
              <w:end w:w="110" w:type="dxa"/>
            </w:tcMar>
          </w:tcPr>
          <w:p>
            <w:r>
              <w:rPr>
                <w:b/>
                <w:color w:val="FFFFFF"/>
                <w:sz w:val="16"/>
              </w:rPr>
              <w:t>TrustOps capability / evidence</w:t>
            </w:r>
          </w:p>
        </w:tc>
        <w:tc>
          <w:tcPr>
            <w:tcW w:type="dxa" w:w="2880"/>
            <w:shd w:fill="102A56"/>
            <w:vAlign w:val="center"/>
            <w:tcMar>
              <w:top w:w="90" w:type="dxa"/>
              <w:start w:w="110" w:type="dxa"/>
              <w:bottom w:w="90" w:type="dxa"/>
              <w:end w:w="110" w:type="dxa"/>
            </w:tcMar>
          </w:tcPr>
          <w:p>
            <w:r>
              <w:rPr>
                <w:b/>
                <w:color w:val="FFFFFF"/>
                <w:sz w:val="16"/>
              </w:rPr>
              <w:t>POC implementation</w:t>
            </w:r>
          </w:p>
        </w:tc>
      </w:tr>
      <w:tr>
        <w:tc>
          <w:tcPr>
            <w:tcW w:type="dxa" w:w="2376"/>
            <w:vAlign w:val="center"/>
            <w:tcMar>
              <w:top w:w="90" w:type="dxa"/>
              <w:start w:w="110" w:type="dxa"/>
              <w:bottom w:w="90" w:type="dxa"/>
              <w:end w:w="110" w:type="dxa"/>
            </w:tcMar>
          </w:tcPr>
          <w:p>
            <w:r>
              <w:rPr>
                <w:sz w:val="16"/>
              </w:rPr>
              <w:t>Article 4 - AI literacy</w:t>
            </w:r>
          </w:p>
        </w:tc>
        <w:tc>
          <w:tcPr>
            <w:tcW w:type="dxa" w:w="4824"/>
            <w:vAlign w:val="center"/>
            <w:tcMar>
              <w:top w:w="90" w:type="dxa"/>
              <w:start w:w="110" w:type="dxa"/>
              <w:bottom w:w="90" w:type="dxa"/>
              <w:end w:w="110" w:type="dxa"/>
            </w:tcMar>
          </w:tcPr>
          <w:p>
            <w:r>
              <w:rPr>
                <w:sz w:val="16"/>
              </w:rPr>
              <w:t>Role-based training/readiness evidence, user/approver roles, acknowledgement records</w:t>
            </w:r>
          </w:p>
        </w:tc>
        <w:tc>
          <w:tcPr>
            <w:tcW w:type="dxa" w:w="2880"/>
            <w:vAlign w:val="center"/>
            <w:tcMar>
              <w:top w:w="90" w:type="dxa"/>
              <w:start w:w="110" w:type="dxa"/>
              <w:bottom w:w="90" w:type="dxa"/>
              <w:end w:w="110" w:type="dxa"/>
            </w:tcMar>
          </w:tcPr>
          <w:p>
            <w:r>
              <w:rPr>
                <w:sz w:val="16"/>
              </w:rPr>
              <w:t>Inventory training evidence and report gaps</w:t>
            </w:r>
          </w:p>
        </w:tc>
      </w:tr>
      <w:tr>
        <w:tc>
          <w:tcPr>
            <w:tcW w:type="dxa" w:w="2376"/>
            <w:vAlign w:val="center"/>
            <w:tcMar>
              <w:top w:w="90" w:type="dxa"/>
              <w:start w:w="110" w:type="dxa"/>
              <w:bottom w:w="90" w:type="dxa"/>
              <w:end w:w="110" w:type="dxa"/>
            </w:tcMar>
          </w:tcPr>
          <w:p>
            <w:r>
              <w:rPr>
                <w:sz w:val="16"/>
              </w:rPr>
              <w:t>Articles 9-15 - high-risk system requirements</w:t>
            </w:r>
          </w:p>
        </w:tc>
        <w:tc>
          <w:tcPr>
            <w:tcW w:type="dxa" w:w="4824"/>
            <w:vAlign w:val="center"/>
            <w:tcMar>
              <w:top w:w="90" w:type="dxa"/>
              <w:start w:w="110" w:type="dxa"/>
              <w:bottom w:w="90" w:type="dxa"/>
              <w:end w:w="110" w:type="dxa"/>
            </w:tcMar>
          </w:tcPr>
          <w:p>
            <w:r>
              <w:rPr>
                <w:sz w:val="16"/>
              </w:rPr>
              <w:t>Risk management, data governance references, technical documentation support, record-keeping, transparency, human oversight, accuracy/robustness/cybersecurity evidence</w:t>
            </w:r>
          </w:p>
        </w:tc>
        <w:tc>
          <w:tcPr>
            <w:tcW w:type="dxa" w:w="2880"/>
            <w:vAlign w:val="center"/>
            <w:tcMar>
              <w:top w:w="90" w:type="dxa"/>
              <w:start w:w="110" w:type="dxa"/>
              <w:bottom w:w="90" w:type="dxa"/>
              <w:end w:w="110" w:type="dxa"/>
            </w:tcMar>
          </w:tcPr>
          <w:p>
            <w:r>
              <w:rPr>
                <w:sz w:val="16"/>
              </w:rPr>
              <w:t>Control catalogue + runtime evidence links; applicability marked REVIEW until classification confirmed</w:t>
            </w:r>
          </w:p>
        </w:tc>
      </w:tr>
      <w:tr>
        <w:tc>
          <w:tcPr>
            <w:tcW w:type="dxa" w:w="2376"/>
            <w:vAlign w:val="center"/>
            <w:tcMar>
              <w:top w:w="90" w:type="dxa"/>
              <w:start w:w="110" w:type="dxa"/>
              <w:bottom w:w="90" w:type="dxa"/>
              <w:end w:w="110" w:type="dxa"/>
            </w:tcMar>
          </w:tcPr>
          <w:p>
            <w:r>
              <w:rPr>
                <w:sz w:val="16"/>
              </w:rPr>
              <w:t>Article 17 - quality management</w:t>
            </w:r>
          </w:p>
        </w:tc>
        <w:tc>
          <w:tcPr>
            <w:tcW w:type="dxa" w:w="4824"/>
            <w:vAlign w:val="center"/>
            <w:tcMar>
              <w:top w:w="90" w:type="dxa"/>
              <w:start w:w="110" w:type="dxa"/>
              <w:bottom w:w="90" w:type="dxa"/>
              <w:end w:w="110" w:type="dxa"/>
            </w:tcMar>
          </w:tcPr>
          <w:p>
            <w:r>
              <w:rPr>
                <w:sz w:val="16"/>
              </w:rPr>
              <w:t>Versioned workflows, policies, models, tests, releases and evidence</w:t>
            </w:r>
          </w:p>
        </w:tc>
        <w:tc>
          <w:tcPr>
            <w:tcW w:type="dxa" w:w="2880"/>
            <w:vAlign w:val="center"/>
            <w:tcMar>
              <w:top w:w="90" w:type="dxa"/>
              <w:start w:w="110" w:type="dxa"/>
              <w:bottom w:w="90" w:type="dxa"/>
              <w:end w:w="110" w:type="dxa"/>
            </w:tcMar>
          </w:tcPr>
          <w:p>
            <w:r>
              <w:rPr>
                <w:sz w:val="16"/>
              </w:rPr>
              <w:t>Generate QMS-readiness evidence index</w:t>
            </w:r>
          </w:p>
        </w:tc>
      </w:tr>
      <w:tr>
        <w:tc>
          <w:tcPr>
            <w:tcW w:type="dxa" w:w="2376"/>
            <w:vAlign w:val="center"/>
            <w:tcMar>
              <w:top w:w="90" w:type="dxa"/>
              <w:start w:w="110" w:type="dxa"/>
              <w:bottom w:w="90" w:type="dxa"/>
              <w:end w:w="110" w:type="dxa"/>
            </w:tcMar>
          </w:tcPr>
          <w:p>
            <w:r>
              <w:rPr>
                <w:sz w:val="16"/>
              </w:rPr>
              <w:t>Articles 26-27 - deployer obligations / FRIA</w:t>
            </w:r>
          </w:p>
        </w:tc>
        <w:tc>
          <w:tcPr>
            <w:tcW w:type="dxa" w:w="4824"/>
            <w:vAlign w:val="center"/>
            <w:tcMar>
              <w:top w:w="90" w:type="dxa"/>
              <w:start w:w="110" w:type="dxa"/>
              <w:bottom w:w="90" w:type="dxa"/>
              <w:end w:w="110" w:type="dxa"/>
            </w:tcMar>
          </w:tcPr>
          <w:p>
            <w:r>
              <w:rPr>
                <w:sz w:val="16"/>
              </w:rPr>
              <w:t>Deployment context, instructions/usage evidence, human oversight, monitoring and assessment-support artefacts</w:t>
            </w:r>
          </w:p>
        </w:tc>
        <w:tc>
          <w:tcPr>
            <w:tcW w:type="dxa" w:w="2880"/>
            <w:vAlign w:val="center"/>
            <w:tcMar>
              <w:top w:w="90" w:type="dxa"/>
              <w:start w:w="110" w:type="dxa"/>
              <w:bottom w:w="90" w:type="dxa"/>
              <w:end w:w="110" w:type="dxa"/>
            </w:tcMar>
          </w:tcPr>
          <w:p>
            <w:r>
              <w:rPr>
                <w:sz w:val="16"/>
              </w:rPr>
              <w:t>Generate deployer evidence pack / FRIA support template when applicable</w:t>
            </w:r>
          </w:p>
        </w:tc>
      </w:tr>
      <w:tr>
        <w:tc>
          <w:tcPr>
            <w:tcW w:type="dxa" w:w="2376"/>
            <w:vAlign w:val="center"/>
            <w:tcMar>
              <w:top w:w="90" w:type="dxa"/>
              <w:start w:w="110" w:type="dxa"/>
              <w:bottom w:w="90" w:type="dxa"/>
              <w:end w:w="110" w:type="dxa"/>
            </w:tcMar>
          </w:tcPr>
          <w:p>
            <w:r>
              <w:rPr>
                <w:sz w:val="16"/>
              </w:rPr>
              <w:t>Article 50 - transparency</w:t>
            </w:r>
          </w:p>
        </w:tc>
        <w:tc>
          <w:tcPr>
            <w:tcW w:type="dxa" w:w="4824"/>
            <w:vAlign w:val="center"/>
            <w:tcMar>
              <w:top w:w="90" w:type="dxa"/>
              <w:start w:w="110" w:type="dxa"/>
              <w:bottom w:w="90" w:type="dxa"/>
              <w:end w:w="110" w:type="dxa"/>
            </w:tcMar>
          </w:tcPr>
          <w:p>
            <w:r>
              <w:rPr>
                <w:sz w:val="16"/>
              </w:rPr>
              <w:t>Disclosure/label requirements and evidence of configured notices where applicable</w:t>
            </w:r>
          </w:p>
        </w:tc>
        <w:tc>
          <w:tcPr>
            <w:tcW w:type="dxa" w:w="2880"/>
            <w:vAlign w:val="center"/>
            <w:tcMar>
              <w:top w:w="90" w:type="dxa"/>
              <w:start w:w="110" w:type="dxa"/>
              <w:bottom w:w="90" w:type="dxa"/>
              <w:end w:w="110" w:type="dxa"/>
            </w:tcMar>
          </w:tcPr>
          <w:p>
            <w:r>
              <w:rPr>
                <w:sz w:val="16"/>
              </w:rPr>
              <w:t>Readiness checks and configuration evidence</w:t>
            </w:r>
          </w:p>
        </w:tc>
      </w:tr>
      <w:tr>
        <w:tc>
          <w:tcPr>
            <w:tcW w:type="dxa" w:w="2376"/>
            <w:vAlign w:val="center"/>
            <w:tcMar>
              <w:top w:w="90" w:type="dxa"/>
              <w:start w:w="110" w:type="dxa"/>
              <w:bottom w:w="90" w:type="dxa"/>
              <w:end w:w="110" w:type="dxa"/>
            </w:tcMar>
          </w:tcPr>
          <w:p>
            <w:r>
              <w:rPr>
                <w:sz w:val="16"/>
              </w:rPr>
              <w:t>Annex III / high-risk classification</w:t>
            </w:r>
          </w:p>
        </w:tc>
        <w:tc>
          <w:tcPr>
            <w:tcW w:type="dxa" w:w="4824"/>
            <w:vAlign w:val="center"/>
            <w:tcMar>
              <w:top w:w="90" w:type="dxa"/>
              <w:start w:w="110" w:type="dxa"/>
              <w:bottom w:w="90" w:type="dxa"/>
              <w:end w:w="110" w:type="dxa"/>
            </w:tcMar>
          </w:tcPr>
          <w:p>
            <w:r>
              <w:rPr>
                <w:sz w:val="16"/>
              </w:rPr>
              <w:t>Use-case facts and classification rationale</w:t>
            </w:r>
          </w:p>
        </w:tc>
        <w:tc>
          <w:tcPr>
            <w:tcW w:type="dxa" w:w="2880"/>
            <w:vAlign w:val="center"/>
            <w:tcMar>
              <w:top w:w="90" w:type="dxa"/>
              <w:start w:w="110" w:type="dxa"/>
              <w:bottom w:w="90" w:type="dxa"/>
              <w:end w:w="110" w:type="dxa"/>
            </w:tcMar>
          </w:tcPr>
          <w:p>
            <w:r>
              <w:rPr>
                <w:sz w:val="16"/>
              </w:rPr>
              <w:t>Classification support workflow; do not auto-certify</w:t>
            </w:r>
          </w:p>
        </w:tc>
      </w:tr>
      <w:tr>
        <w:tc>
          <w:tcPr>
            <w:tcW w:type="dxa" w:w="2376"/>
            <w:vAlign w:val="center"/>
            <w:tcMar>
              <w:top w:w="90" w:type="dxa"/>
              <w:start w:w="110" w:type="dxa"/>
              <w:bottom w:w="90" w:type="dxa"/>
              <w:end w:w="110" w:type="dxa"/>
            </w:tcMar>
          </w:tcPr>
          <w:p>
            <w:r>
              <w:rPr>
                <w:sz w:val="16"/>
              </w:rPr>
              <w:t>Annex IV / technical documentation</w:t>
            </w:r>
          </w:p>
        </w:tc>
        <w:tc>
          <w:tcPr>
            <w:tcW w:type="dxa" w:w="4824"/>
            <w:vAlign w:val="center"/>
            <w:tcMar>
              <w:top w:w="90" w:type="dxa"/>
              <w:start w:w="110" w:type="dxa"/>
              <w:bottom w:w="90" w:type="dxa"/>
              <w:end w:w="110" w:type="dxa"/>
            </w:tcMar>
          </w:tcPr>
          <w:p>
            <w:r>
              <w:rPr>
                <w:sz w:val="16"/>
              </w:rPr>
              <w:t>Architecture, purpose, versions, interfaces, controls, testing and monitoring evidence</w:t>
            </w:r>
          </w:p>
        </w:tc>
        <w:tc>
          <w:tcPr>
            <w:tcW w:type="dxa" w:w="2880"/>
            <w:vAlign w:val="center"/>
            <w:tcMar>
              <w:top w:w="90" w:type="dxa"/>
              <w:start w:w="110" w:type="dxa"/>
              <w:bottom w:w="90" w:type="dxa"/>
              <w:end w:w="110" w:type="dxa"/>
            </w:tcMar>
          </w:tcPr>
          <w:p>
            <w:r>
              <w:rPr>
                <w:sz w:val="16"/>
              </w:rPr>
              <w:t>Assemble technical documentation support bundle</w:t>
            </w:r>
          </w:p>
        </w:tc>
      </w:tr>
    </w:tbl>
    <w:p/>
    <w:tbl>
      <w:tblPr>
        <w:tblStyle w:val="TableGrid"/>
        <w:tblW w:type="auto" w:w="0"/>
        <w:jc w:val="center"/>
        <w:tblLook w:firstColumn="1" w:firstRow="1" w:lastColumn="0" w:lastRow="0" w:noHBand="0" w:noVBand="1" w:val="04A0"/>
      </w:tblPr>
      <w:tblGrid>
        <w:gridCol w:w="10166"/>
      </w:tblGrid>
      <w:tr>
        <w:tc>
          <w:tcPr>
            <w:tcW w:type="dxa" w:w="10166"/>
            <w:shd w:fill="EEF5FF"/>
            <w:tcMar>
              <w:top w:w="140" w:type="dxa"/>
              <w:start w:w="160" w:type="dxa"/>
              <w:bottom w:w="140" w:type="dxa"/>
              <w:end w:w="160" w:type="dxa"/>
            </w:tcMar>
          </w:tcPr>
          <w:p>
            <w:r>
              <w:rPr>
                <w:b/>
                <w:color w:val="102A56"/>
                <w:sz w:val="22"/>
              </w:rPr>
              <w:t>Current timing note (October 2026)</w:t>
              <w:br/>
            </w:r>
            <w:r>
              <w:rPr>
                <w:color w:val="172033"/>
                <w:sz w:val="20"/>
              </w:rPr>
              <w:t>Article 4 AI literacy obligations are already in application; Article 50 transparency obligations apply from 2 August 2026. Following the 2026 AI Omnibus changes, rules for Annex III high-risk systems apply from 2 December 2027 and rules for high-risk systems embedded in Annex I regulated products apply from 2 August 2028. Engineering must version regulatory content because dates and guidance can change.</w:t>
            </w:r>
          </w:p>
        </w:tc>
      </w:tr>
    </w:tbl>
    <w:p/>
    <w:p>
      <w:pPr>
        <w:pStyle w:val="Heading2"/>
      </w:pPr>
      <w:r>
        <w:t>12.1 Regulatory content versioning</w:t>
      </w:r>
    </w:p>
    <w:p>
      <w:pPr>
        <w:pStyle w:val="ListBullet"/>
      </w:pPr>
      <w:r>
        <w:t>Store source authority, publication date, retrieval date and content version for each regulatory rule pack.</w:t>
      </w:r>
    </w:p>
    <w:p>
      <w:pPr>
        <w:pStyle w:val="ListBullet"/>
      </w:pPr>
      <w:r>
        <w:t>Never overwrite an old rule pack used by historical evidence; publish a new version.</w:t>
      </w:r>
    </w:p>
    <w:p>
      <w:pPr>
        <w:pStyle w:val="ListBullet"/>
      </w:pPr>
      <w:r>
        <w:t>Evidence records reference the exact policy/readiness-pack version used at the time.</w:t>
      </w:r>
    </w:p>
    <w:p>
      <w:pPr>
        <w:pStyle w:val="ListBullet"/>
      </w:pPr>
      <w:r>
        <w:t>Show “last regulatory content refresh” in the Readiness UI.</w:t>
      </w:r>
    </w:p>
    <w:p>
      <w:pPr>
        <w:pStyle w:val="Heading1"/>
      </w:pPr>
      <w:r>
        <w:t>13. Data Model and Persistence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02A56"/>
            <w:vAlign w:val="center"/>
            <w:tcMar>
              <w:top w:w="90" w:type="dxa"/>
              <w:start w:w="110" w:type="dxa"/>
              <w:bottom w:w="90" w:type="dxa"/>
              <w:end w:w="110" w:type="dxa"/>
            </w:tcMar>
          </w:tcPr>
          <w:p>
            <w:r>
              <w:rPr>
                <w:b/>
                <w:color w:val="FFFFFF"/>
                <w:sz w:val="16"/>
              </w:rPr>
              <w:t>Entity</w:t>
            </w:r>
          </w:p>
        </w:tc>
        <w:tc>
          <w:tcPr>
            <w:tcW w:type="dxa" w:w="2448"/>
            <w:shd w:fill="102A56"/>
            <w:vAlign w:val="center"/>
            <w:tcMar>
              <w:top w:w="90" w:type="dxa"/>
              <w:start w:w="110" w:type="dxa"/>
              <w:bottom w:w="90" w:type="dxa"/>
              <w:end w:w="110" w:type="dxa"/>
            </w:tcMar>
          </w:tcPr>
          <w:p>
            <w:r>
              <w:rPr>
                <w:b/>
                <w:color w:val="FFFFFF"/>
                <w:sz w:val="16"/>
              </w:rPr>
              <w:t>Primary store</w:t>
            </w:r>
          </w:p>
        </w:tc>
        <w:tc>
          <w:tcPr>
            <w:tcW w:type="dxa" w:w="5472"/>
            <w:shd w:fill="102A56"/>
            <w:vAlign w:val="center"/>
            <w:tcMar>
              <w:top w:w="90" w:type="dxa"/>
              <w:start w:w="110" w:type="dxa"/>
              <w:bottom w:w="90" w:type="dxa"/>
              <w:end w:w="110" w:type="dxa"/>
            </w:tcMar>
          </w:tcPr>
          <w:p>
            <w:r>
              <w:rPr>
                <w:b/>
                <w:color w:val="FFFFFF"/>
                <w:sz w:val="16"/>
              </w:rPr>
              <w:t>Key fields</w:t>
            </w:r>
          </w:p>
        </w:tc>
      </w:tr>
      <w:tr>
        <w:tc>
          <w:tcPr>
            <w:tcW w:type="dxa" w:w="2160"/>
            <w:vAlign w:val="center"/>
            <w:tcMar>
              <w:top w:w="90" w:type="dxa"/>
              <w:start w:w="110" w:type="dxa"/>
              <w:bottom w:w="90" w:type="dxa"/>
              <w:end w:w="110" w:type="dxa"/>
            </w:tcMar>
          </w:tcPr>
          <w:p>
            <w:r>
              <w:rPr>
                <w:sz w:val="16"/>
              </w:rPr>
              <w:t>Tenant / Environment</w:t>
            </w:r>
          </w:p>
        </w:tc>
        <w:tc>
          <w:tcPr>
            <w:tcW w:type="dxa" w:w="2448"/>
            <w:vAlign w:val="center"/>
            <w:tcMar>
              <w:top w:w="90" w:type="dxa"/>
              <w:start w:w="110" w:type="dxa"/>
              <w:bottom w:w="90" w:type="dxa"/>
              <w:end w:w="110" w:type="dxa"/>
            </w:tcMar>
          </w:tcPr>
          <w:p>
            <w:r>
              <w:rPr>
                <w:sz w:val="16"/>
              </w:rPr>
              <w:t>Aurora</w:t>
            </w:r>
          </w:p>
        </w:tc>
        <w:tc>
          <w:tcPr>
            <w:tcW w:type="dxa" w:w="5472"/>
            <w:vAlign w:val="center"/>
            <w:tcMar>
              <w:top w:w="90" w:type="dxa"/>
              <w:start w:w="110" w:type="dxa"/>
              <w:bottom w:w="90" w:type="dxa"/>
              <w:end w:w="110" w:type="dxa"/>
            </w:tcMar>
          </w:tcPr>
          <w:p>
            <w:r>
              <w:rPr>
                <w:sz w:val="16"/>
              </w:rPr>
              <w:t>tenant_id, environment_id, residency, status</w:t>
            </w:r>
          </w:p>
        </w:tc>
      </w:tr>
      <w:tr>
        <w:tc>
          <w:tcPr>
            <w:tcW w:type="dxa" w:w="2160"/>
            <w:vAlign w:val="center"/>
            <w:tcMar>
              <w:top w:w="90" w:type="dxa"/>
              <w:start w:w="110" w:type="dxa"/>
              <w:bottom w:w="90" w:type="dxa"/>
              <w:end w:w="110" w:type="dxa"/>
            </w:tcMar>
          </w:tcPr>
          <w:p>
            <w:r>
              <w:rPr>
                <w:sz w:val="16"/>
              </w:rPr>
              <w:t>WorkflowPack</w:t>
            </w:r>
          </w:p>
        </w:tc>
        <w:tc>
          <w:tcPr>
            <w:tcW w:type="dxa" w:w="2448"/>
            <w:vAlign w:val="center"/>
            <w:tcMar>
              <w:top w:w="90" w:type="dxa"/>
              <w:start w:w="110" w:type="dxa"/>
              <w:bottom w:w="90" w:type="dxa"/>
              <w:end w:w="110" w:type="dxa"/>
            </w:tcMar>
          </w:tcPr>
          <w:p>
            <w:r>
              <w:rPr>
                <w:sz w:val="16"/>
              </w:rPr>
              <w:t>Aurora + Git/artifact registry</w:t>
            </w:r>
          </w:p>
        </w:tc>
        <w:tc>
          <w:tcPr>
            <w:tcW w:type="dxa" w:w="5472"/>
            <w:vAlign w:val="center"/>
            <w:tcMar>
              <w:top w:w="90" w:type="dxa"/>
              <w:start w:w="110" w:type="dxa"/>
              <w:bottom w:w="90" w:type="dxa"/>
              <w:end w:w="110" w:type="dxa"/>
            </w:tcMar>
          </w:tcPr>
          <w:p>
            <w:r>
              <w:rPr>
                <w:sz w:val="16"/>
              </w:rPr>
              <w:t>pack_id, version, schema_version, status</w:t>
            </w:r>
          </w:p>
        </w:tc>
      </w:tr>
      <w:tr>
        <w:tc>
          <w:tcPr>
            <w:tcW w:type="dxa" w:w="2160"/>
            <w:vAlign w:val="center"/>
            <w:tcMar>
              <w:top w:w="90" w:type="dxa"/>
              <w:start w:w="110" w:type="dxa"/>
              <w:bottom w:w="90" w:type="dxa"/>
              <w:end w:w="110" w:type="dxa"/>
            </w:tcMar>
          </w:tcPr>
          <w:p>
            <w:r>
              <w:rPr>
                <w:sz w:val="16"/>
              </w:rPr>
              <w:t>AgentManifest</w:t>
            </w:r>
          </w:p>
        </w:tc>
        <w:tc>
          <w:tcPr>
            <w:tcW w:type="dxa" w:w="2448"/>
            <w:vAlign w:val="center"/>
            <w:tcMar>
              <w:top w:w="90" w:type="dxa"/>
              <w:start w:w="110" w:type="dxa"/>
              <w:bottom w:w="90" w:type="dxa"/>
              <w:end w:w="110" w:type="dxa"/>
            </w:tcMar>
          </w:tcPr>
          <w:p>
            <w:r>
              <w:rPr>
                <w:sz w:val="16"/>
              </w:rPr>
              <w:t>Aurora/artifact registry</w:t>
            </w:r>
          </w:p>
        </w:tc>
        <w:tc>
          <w:tcPr>
            <w:tcW w:type="dxa" w:w="5472"/>
            <w:vAlign w:val="center"/>
            <w:tcMar>
              <w:top w:w="90" w:type="dxa"/>
              <w:start w:w="110" w:type="dxa"/>
              <w:bottom w:w="90" w:type="dxa"/>
              <w:end w:w="110" w:type="dxa"/>
            </w:tcMar>
          </w:tcPr>
          <w:p>
            <w:r>
              <w:rPr>
                <w:sz w:val="16"/>
              </w:rPr>
              <w:t>agent_id, version, tools, datasets, authority, model route</w:t>
            </w:r>
          </w:p>
        </w:tc>
      </w:tr>
      <w:tr>
        <w:tc>
          <w:tcPr>
            <w:tcW w:type="dxa" w:w="2160"/>
            <w:vAlign w:val="center"/>
            <w:tcMar>
              <w:top w:w="90" w:type="dxa"/>
              <w:start w:w="110" w:type="dxa"/>
              <w:bottom w:w="90" w:type="dxa"/>
              <w:end w:w="110" w:type="dxa"/>
            </w:tcMar>
          </w:tcPr>
          <w:p>
            <w:r>
              <w:rPr>
                <w:sz w:val="16"/>
              </w:rPr>
              <w:t>ModelRoute</w:t>
            </w:r>
          </w:p>
        </w:tc>
        <w:tc>
          <w:tcPr>
            <w:tcW w:type="dxa" w:w="2448"/>
            <w:vAlign w:val="center"/>
            <w:tcMar>
              <w:top w:w="90" w:type="dxa"/>
              <w:start w:w="110" w:type="dxa"/>
              <w:bottom w:w="90" w:type="dxa"/>
              <w:end w:w="110" w:type="dxa"/>
            </w:tcMar>
          </w:tcPr>
          <w:p>
            <w:r>
              <w:rPr>
                <w:sz w:val="16"/>
              </w:rPr>
              <w:t>Aurora</w:t>
            </w:r>
          </w:p>
        </w:tc>
        <w:tc>
          <w:tcPr>
            <w:tcW w:type="dxa" w:w="5472"/>
            <w:vAlign w:val="center"/>
            <w:tcMar>
              <w:top w:w="90" w:type="dxa"/>
              <w:start w:w="110" w:type="dxa"/>
              <w:bottom w:w="90" w:type="dxa"/>
              <w:end w:w="110" w:type="dxa"/>
            </w:tcMar>
          </w:tcPr>
          <w:p>
            <w:r>
              <w:rPr>
                <w:sz w:val="16"/>
              </w:rPr>
              <w:t>route, approved providers/models, data classes, residency rules</w:t>
            </w:r>
          </w:p>
        </w:tc>
      </w:tr>
      <w:tr>
        <w:tc>
          <w:tcPr>
            <w:tcW w:type="dxa" w:w="2160"/>
            <w:vAlign w:val="center"/>
            <w:tcMar>
              <w:top w:w="90" w:type="dxa"/>
              <w:start w:w="110" w:type="dxa"/>
              <w:bottom w:w="90" w:type="dxa"/>
              <w:end w:w="110" w:type="dxa"/>
            </w:tcMar>
          </w:tcPr>
          <w:p>
            <w:r>
              <w:rPr>
                <w:sz w:val="16"/>
              </w:rPr>
              <w:t>PolicyBundle</w:t>
            </w:r>
          </w:p>
        </w:tc>
        <w:tc>
          <w:tcPr>
            <w:tcW w:type="dxa" w:w="2448"/>
            <w:vAlign w:val="center"/>
            <w:tcMar>
              <w:top w:w="90" w:type="dxa"/>
              <w:start w:w="110" w:type="dxa"/>
              <w:bottom w:w="90" w:type="dxa"/>
              <w:end w:w="110" w:type="dxa"/>
            </w:tcMar>
          </w:tcPr>
          <w:p>
            <w:r>
              <w:rPr>
                <w:sz w:val="16"/>
              </w:rPr>
              <w:t>Aurora / Git artifact</w:t>
            </w:r>
          </w:p>
        </w:tc>
        <w:tc>
          <w:tcPr>
            <w:tcW w:type="dxa" w:w="5472"/>
            <w:vAlign w:val="center"/>
            <w:tcMar>
              <w:top w:w="90" w:type="dxa"/>
              <w:start w:w="110" w:type="dxa"/>
              <w:bottom w:w="90" w:type="dxa"/>
              <w:end w:w="110" w:type="dxa"/>
            </w:tcMar>
          </w:tcPr>
          <w:p>
            <w:r>
              <w:rPr>
                <w:sz w:val="16"/>
              </w:rPr>
              <w:t>policy_id, version, rules, reason codes</w:t>
            </w:r>
          </w:p>
        </w:tc>
      </w:tr>
      <w:tr>
        <w:tc>
          <w:tcPr>
            <w:tcW w:type="dxa" w:w="2160"/>
            <w:vAlign w:val="center"/>
            <w:tcMar>
              <w:top w:w="90" w:type="dxa"/>
              <w:start w:w="110" w:type="dxa"/>
              <w:bottom w:w="90" w:type="dxa"/>
              <w:end w:w="110" w:type="dxa"/>
            </w:tcMar>
          </w:tcPr>
          <w:p>
            <w:r>
              <w:rPr>
                <w:sz w:val="16"/>
              </w:rPr>
              <w:t>Approval</w:t>
            </w:r>
          </w:p>
        </w:tc>
        <w:tc>
          <w:tcPr>
            <w:tcW w:type="dxa" w:w="2448"/>
            <w:vAlign w:val="center"/>
            <w:tcMar>
              <w:top w:w="90" w:type="dxa"/>
              <w:start w:w="110" w:type="dxa"/>
              <w:bottom w:w="90" w:type="dxa"/>
              <w:end w:w="110" w:type="dxa"/>
            </w:tcMar>
          </w:tcPr>
          <w:p>
            <w:r>
              <w:rPr>
                <w:sz w:val="16"/>
              </w:rPr>
              <w:t>Aurora</w:t>
            </w:r>
          </w:p>
        </w:tc>
        <w:tc>
          <w:tcPr>
            <w:tcW w:type="dxa" w:w="5472"/>
            <w:vAlign w:val="center"/>
            <w:tcMar>
              <w:top w:w="90" w:type="dxa"/>
              <w:start w:w="110" w:type="dxa"/>
              <w:bottom w:w="90" w:type="dxa"/>
              <w:end w:w="110" w:type="dxa"/>
            </w:tcMar>
          </w:tcPr>
          <w:p>
            <w:r>
              <w:rPr>
                <w:sz w:val="16"/>
              </w:rPr>
              <w:t>request, actor, decision, authority source, timestamps</w:t>
            </w:r>
          </w:p>
        </w:tc>
      </w:tr>
      <w:tr>
        <w:tc>
          <w:tcPr>
            <w:tcW w:type="dxa" w:w="2160"/>
            <w:vAlign w:val="center"/>
            <w:tcMar>
              <w:top w:w="90" w:type="dxa"/>
              <w:start w:w="110" w:type="dxa"/>
              <w:bottom w:w="90" w:type="dxa"/>
              <w:end w:w="110" w:type="dxa"/>
            </w:tcMar>
          </w:tcPr>
          <w:p>
            <w:r>
              <w:rPr>
                <w:sz w:val="16"/>
              </w:rPr>
              <w:t>Run / idempotency</w:t>
            </w:r>
          </w:p>
        </w:tc>
        <w:tc>
          <w:tcPr>
            <w:tcW w:type="dxa" w:w="2448"/>
            <w:vAlign w:val="center"/>
            <w:tcMar>
              <w:top w:w="90" w:type="dxa"/>
              <w:start w:w="110" w:type="dxa"/>
              <w:bottom w:w="90" w:type="dxa"/>
              <w:end w:w="110" w:type="dxa"/>
            </w:tcMar>
          </w:tcPr>
          <w:p>
            <w:r>
              <w:rPr>
                <w:sz w:val="16"/>
              </w:rPr>
              <w:t>DynamoDB</w:t>
            </w:r>
          </w:p>
        </w:tc>
        <w:tc>
          <w:tcPr>
            <w:tcW w:type="dxa" w:w="5472"/>
            <w:vAlign w:val="center"/>
            <w:tcMar>
              <w:top w:w="90" w:type="dxa"/>
              <w:start w:w="110" w:type="dxa"/>
              <w:bottom w:w="90" w:type="dxa"/>
              <w:end w:w="110" w:type="dxa"/>
            </w:tcMar>
          </w:tcPr>
          <w:p>
            <w:r>
              <w:rPr>
                <w:sz w:val="16"/>
              </w:rPr>
              <w:t>trace_id, state, idempotency_key, lock/status</w:t>
            </w:r>
          </w:p>
        </w:tc>
      </w:tr>
      <w:tr>
        <w:tc>
          <w:tcPr>
            <w:tcW w:type="dxa" w:w="2160"/>
            <w:vAlign w:val="center"/>
            <w:tcMar>
              <w:top w:w="90" w:type="dxa"/>
              <w:start w:w="110" w:type="dxa"/>
              <w:bottom w:w="90" w:type="dxa"/>
              <w:end w:w="110" w:type="dxa"/>
            </w:tcMar>
          </w:tcPr>
          <w:p>
            <w:r>
              <w:rPr>
                <w:sz w:val="16"/>
              </w:rPr>
              <w:t>Source payloads</w:t>
            </w:r>
          </w:p>
        </w:tc>
        <w:tc>
          <w:tcPr>
            <w:tcW w:type="dxa" w:w="2448"/>
            <w:vAlign w:val="center"/>
            <w:tcMar>
              <w:top w:w="90" w:type="dxa"/>
              <w:start w:w="110" w:type="dxa"/>
              <w:bottom w:w="90" w:type="dxa"/>
              <w:end w:w="110" w:type="dxa"/>
            </w:tcMar>
          </w:tcPr>
          <w:p>
            <w:r>
              <w:rPr>
                <w:sz w:val="16"/>
              </w:rPr>
              <w:t>S3</w:t>
            </w:r>
          </w:p>
        </w:tc>
        <w:tc>
          <w:tcPr>
            <w:tcW w:type="dxa" w:w="5472"/>
            <w:vAlign w:val="center"/>
            <w:tcMar>
              <w:top w:w="90" w:type="dxa"/>
              <w:start w:w="110" w:type="dxa"/>
              <w:bottom w:w="90" w:type="dxa"/>
              <w:end w:w="110" w:type="dxa"/>
            </w:tcMar>
          </w:tcPr>
          <w:p>
            <w:r>
              <w:rPr>
                <w:sz w:val="16"/>
              </w:rPr>
              <w:t>tenant prefix, object version, digest, classification</w:t>
            </w:r>
          </w:p>
        </w:tc>
      </w:tr>
      <w:tr>
        <w:tc>
          <w:tcPr>
            <w:tcW w:type="dxa" w:w="2160"/>
            <w:vAlign w:val="center"/>
            <w:tcMar>
              <w:top w:w="90" w:type="dxa"/>
              <w:start w:w="110" w:type="dxa"/>
              <w:bottom w:w="90" w:type="dxa"/>
              <w:end w:w="110" w:type="dxa"/>
            </w:tcMar>
          </w:tcPr>
          <w:p>
            <w:r>
              <w:rPr>
                <w:sz w:val="16"/>
              </w:rPr>
              <w:t>Evidence</w:t>
            </w:r>
          </w:p>
        </w:tc>
        <w:tc>
          <w:tcPr>
            <w:tcW w:type="dxa" w:w="2448"/>
            <w:vAlign w:val="center"/>
            <w:tcMar>
              <w:top w:w="90" w:type="dxa"/>
              <w:start w:w="110" w:type="dxa"/>
              <w:bottom w:w="90" w:type="dxa"/>
              <w:end w:w="110" w:type="dxa"/>
            </w:tcMar>
          </w:tcPr>
          <w:p>
            <w:r>
              <w:rPr>
                <w:sz w:val="16"/>
              </w:rPr>
              <w:t>S3 + metadata index</w:t>
            </w:r>
          </w:p>
        </w:tc>
        <w:tc>
          <w:tcPr>
            <w:tcW w:type="dxa" w:w="5472"/>
            <w:vAlign w:val="center"/>
            <w:tcMar>
              <w:top w:w="90" w:type="dxa"/>
              <w:start w:w="110" w:type="dxa"/>
              <w:bottom w:w="90" w:type="dxa"/>
              <w:end w:w="110" w:type="dxa"/>
            </w:tcMar>
          </w:tcPr>
          <w:p>
            <w:r>
              <w:rPr>
                <w:sz w:val="16"/>
              </w:rPr>
              <w:t>evidence_id, digest, signature, chain, subject, trace</w:t>
            </w:r>
          </w:p>
        </w:tc>
      </w:tr>
      <w:tr>
        <w:tc>
          <w:tcPr>
            <w:tcW w:type="dxa" w:w="2160"/>
            <w:vAlign w:val="center"/>
            <w:tcMar>
              <w:top w:w="90" w:type="dxa"/>
              <w:start w:w="110" w:type="dxa"/>
              <w:bottom w:w="90" w:type="dxa"/>
              <w:end w:w="110" w:type="dxa"/>
            </w:tcMar>
          </w:tcPr>
          <w:p>
            <w:r>
              <w:rPr>
                <w:sz w:val="16"/>
              </w:rPr>
              <w:t>Knowledge graph</w:t>
            </w:r>
          </w:p>
        </w:tc>
        <w:tc>
          <w:tcPr>
            <w:tcW w:type="dxa" w:w="2448"/>
            <w:vAlign w:val="center"/>
            <w:tcMar>
              <w:top w:w="90" w:type="dxa"/>
              <w:start w:w="110" w:type="dxa"/>
              <w:bottom w:w="90" w:type="dxa"/>
              <w:end w:w="110" w:type="dxa"/>
            </w:tcMar>
          </w:tcPr>
          <w:p>
            <w:r>
              <w:rPr>
                <w:sz w:val="16"/>
              </w:rPr>
              <w:t>Neo4j</w:t>
            </w:r>
          </w:p>
        </w:tc>
        <w:tc>
          <w:tcPr>
            <w:tcW w:type="dxa" w:w="5472"/>
            <w:vAlign w:val="center"/>
            <w:tcMar>
              <w:top w:w="90" w:type="dxa"/>
              <w:start w:w="110" w:type="dxa"/>
              <w:bottom w:w="90" w:type="dxa"/>
              <w:end w:w="110" w:type="dxa"/>
            </w:tcMar>
          </w:tcPr>
          <w:p>
            <w:r>
              <w:rPr>
                <w:sz w:val="16"/>
              </w:rPr>
              <w:t>regulation-control-workflow-role relationships</w:t>
            </w:r>
          </w:p>
        </w:tc>
      </w:tr>
      <w:tr>
        <w:tc>
          <w:tcPr>
            <w:tcW w:type="dxa" w:w="2160"/>
            <w:vAlign w:val="center"/>
            <w:tcMar>
              <w:top w:w="90" w:type="dxa"/>
              <w:start w:w="110" w:type="dxa"/>
              <w:bottom w:w="90" w:type="dxa"/>
              <w:end w:w="110" w:type="dxa"/>
            </w:tcMar>
          </w:tcPr>
          <w:p>
            <w:r>
              <w:rPr>
                <w:sz w:val="16"/>
              </w:rPr>
              <w:t>Embeddings</w:t>
            </w:r>
          </w:p>
        </w:tc>
        <w:tc>
          <w:tcPr>
            <w:tcW w:type="dxa" w:w="2448"/>
            <w:vAlign w:val="center"/>
            <w:tcMar>
              <w:top w:w="90" w:type="dxa"/>
              <w:start w:w="110" w:type="dxa"/>
              <w:bottom w:w="90" w:type="dxa"/>
              <w:end w:w="110" w:type="dxa"/>
            </w:tcMar>
          </w:tcPr>
          <w:p>
            <w:r>
              <w:rPr>
                <w:sz w:val="16"/>
              </w:rPr>
              <w:t>pgvector</w:t>
            </w:r>
          </w:p>
        </w:tc>
        <w:tc>
          <w:tcPr>
            <w:tcW w:type="dxa" w:w="5472"/>
            <w:vAlign w:val="center"/>
            <w:tcMar>
              <w:top w:w="90" w:type="dxa"/>
              <w:start w:w="110" w:type="dxa"/>
              <w:bottom w:w="90" w:type="dxa"/>
              <w:end w:w="110" w:type="dxa"/>
            </w:tcMar>
          </w:tcPr>
          <w:p>
            <w:r>
              <w:rPr>
                <w:sz w:val="16"/>
              </w:rPr>
              <w:t>document chunks, source refs, embedding version</w:t>
            </w:r>
          </w:p>
        </w:tc>
      </w:tr>
      <w:tr>
        <w:tc>
          <w:tcPr>
            <w:tcW w:type="dxa" w:w="2160"/>
            <w:vAlign w:val="center"/>
            <w:tcMar>
              <w:top w:w="90" w:type="dxa"/>
              <w:start w:w="110" w:type="dxa"/>
              <w:bottom w:w="90" w:type="dxa"/>
              <w:end w:w="110" w:type="dxa"/>
            </w:tcMar>
          </w:tcPr>
          <w:p>
            <w:r>
              <w:rPr>
                <w:sz w:val="16"/>
              </w:rPr>
              <w:t>Telemetry</w:t>
            </w:r>
          </w:p>
        </w:tc>
        <w:tc>
          <w:tcPr>
            <w:tcW w:type="dxa" w:w="2448"/>
            <w:vAlign w:val="center"/>
            <w:tcMar>
              <w:top w:w="90" w:type="dxa"/>
              <w:start w:w="110" w:type="dxa"/>
              <w:bottom w:w="90" w:type="dxa"/>
              <w:end w:w="110" w:type="dxa"/>
            </w:tcMar>
          </w:tcPr>
          <w:p>
            <w:r>
              <w:rPr>
                <w:sz w:val="16"/>
              </w:rPr>
              <w:t>CloudWatch/Otel backend</w:t>
            </w:r>
          </w:p>
        </w:tc>
        <w:tc>
          <w:tcPr>
            <w:tcW w:type="dxa" w:w="5472"/>
            <w:vAlign w:val="center"/>
            <w:tcMar>
              <w:top w:w="90" w:type="dxa"/>
              <w:start w:w="110" w:type="dxa"/>
              <w:bottom w:w="90" w:type="dxa"/>
              <w:end w:w="110" w:type="dxa"/>
            </w:tcMar>
          </w:tcPr>
          <w:p>
            <w:r>
              <w:rPr>
                <w:sz w:val="16"/>
              </w:rPr>
              <w:t>trace_id, tenant_id, service/agent, metrics</w:t>
            </w:r>
          </w:p>
        </w:tc>
      </w:tr>
    </w:tbl>
    <w:p/>
    <w:p>
      <w:pPr>
        <w:pStyle w:val="Heading1"/>
      </w:pPr>
      <w:r>
        <w:t>14. API Surface - Minimum POC</w:t>
      </w:r>
    </w:p>
    <w:tbl>
      <w:tblPr>
        <w:tblStyle w:val="TableGrid"/>
        <w:tblW w:type="auto" w:w="0"/>
        <w:jc w:val="center"/>
        <w:tblLook w:firstColumn="1" w:firstRow="1" w:lastColumn="0" w:lastRow="0" w:noHBand="0" w:noVBand="1" w:val="04A0"/>
      </w:tblPr>
      <w:tblGrid>
        <w:gridCol w:w="5083"/>
        <w:gridCol w:w="5083"/>
      </w:tblGrid>
      <w:tr>
        <w:tc>
          <w:tcPr>
            <w:tcW w:type="dxa" w:w="3744"/>
            <w:shd w:fill="102A56"/>
            <w:vAlign w:val="center"/>
            <w:tcMar>
              <w:top w:w="90" w:type="dxa"/>
              <w:start w:w="110" w:type="dxa"/>
              <w:bottom w:w="90" w:type="dxa"/>
              <w:end w:w="110" w:type="dxa"/>
            </w:tcMar>
          </w:tcPr>
          <w:p>
            <w:r>
              <w:rPr>
                <w:b/>
                <w:color w:val="FFFFFF"/>
                <w:sz w:val="17"/>
              </w:rPr>
              <w:t>API</w:t>
            </w:r>
          </w:p>
        </w:tc>
        <w:tc>
          <w:tcPr>
            <w:tcW w:type="dxa" w:w="6336"/>
            <w:shd w:fill="102A56"/>
            <w:vAlign w:val="center"/>
            <w:tcMar>
              <w:top w:w="90" w:type="dxa"/>
              <w:start w:w="110" w:type="dxa"/>
              <w:bottom w:w="90" w:type="dxa"/>
              <w:end w:w="110" w:type="dxa"/>
            </w:tcMar>
          </w:tcPr>
          <w:p>
            <w:r>
              <w:rPr>
                <w:b/>
                <w:color w:val="FFFFFF"/>
                <w:sz w:val="17"/>
              </w:rPr>
              <w:t>Purpose</w:t>
            </w:r>
          </w:p>
        </w:tc>
      </w:tr>
      <w:tr>
        <w:tc>
          <w:tcPr>
            <w:tcW w:type="dxa" w:w="3744"/>
            <w:vAlign w:val="center"/>
            <w:tcMar>
              <w:top w:w="90" w:type="dxa"/>
              <w:start w:w="110" w:type="dxa"/>
              <w:bottom w:w="90" w:type="dxa"/>
              <w:end w:w="110" w:type="dxa"/>
            </w:tcMar>
          </w:tcPr>
          <w:p>
            <w:r>
              <w:rPr>
                <w:sz w:val="17"/>
              </w:rPr>
              <w:t>POST /v1/diagnoses</w:t>
            </w:r>
          </w:p>
        </w:tc>
        <w:tc>
          <w:tcPr>
            <w:tcW w:type="dxa" w:w="6336"/>
            <w:vAlign w:val="center"/>
            <w:tcMar>
              <w:top w:w="90" w:type="dxa"/>
              <w:start w:w="110" w:type="dxa"/>
              <w:bottom w:w="90" w:type="dxa"/>
              <w:end w:w="110" w:type="dxa"/>
            </w:tcMar>
          </w:tcPr>
          <w:p>
            <w:r>
              <w:rPr>
                <w:sz w:val="17"/>
              </w:rPr>
              <w:t>Create diagnosis</w:t>
            </w:r>
          </w:p>
        </w:tc>
      </w:tr>
      <w:tr>
        <w:tc>
          <w:tcPr>
            <w:tcW w:type="dxa" w:w="3744"/>
            <w:vAlign w:val="center"/>
            <w:tcMar>
              <w:top w:w="90" w:type="dxa"/>
              <w:start w:w="110" w:type="dxa"/>
              <w:bottom w:w="90" w:type="dxa"/>
              <w:end w:w="110" w:type="dxa"/>
            </w:tcMar>
          </w:tcPr>
          <w:p>
            <w:r>
              <w:rPr>
                <w:sz w:val="17"/>
              </w:rPr>
              <w:t>POST /v1/diagnoses/{id}/classify</w:t>
            </w:r>
          </w:p>
        </w:tc>
        <w:tc>
          <w:tcPr>
            <w:tcW w:type="dxa" w:w="6336"/>
            <w:vAlign w:val="center"/>
            <w:tcMar>
              <w:top w:w="90" w:type="dxa"/>
              <w:start w:w="110" w:type="dxa"/>
              <w:bottom w:w="90" w:type="dxa"/>
              <w:end w:w="110" w:type="dxa"/>
            </w:tcMar>
          </w:tcPr>
          <w:p>
            <w:r>
              <w:rPr>
                <w:sz w:val="17"/>
              </w:rPr>
              <w:t>Run risk/role classification</w:t>
            </w:r>
          </w:p>
        </w:tc>
      </w:tr>
      <w:tr>
        <w:tc>
          <w:tcPr>
            <w:tcW w:type="dxa" w:w="3744"/>
            <w:vAlign w:val="center"/>
            <w:tcMar>
              <w:top w:w="90" w:type="dxa"/>
              <w:start w:w="110" w:type="dxa"/>
              <w:bottom w:w="90" w:type="dxa"/>
              <w:end w:w="110" w:type="dxa"/>
            </w:tcMar>
          </w:tcPr>
          <w:p>
            <w:r>
              <w:rPr>
                <w:sz w:val="17"/>
              </w:rPr>
              <w:t>GET /v1/diagnoses/{id}/readiness</w:t>
            </w:r>
          </w:p>
        </w:tc>
        <w:tc>
          <w:tcPr>
            <w:tcW w:type="dxa" w:w="6336"/>
            <w:vAlign w:val="center"/>
            <w:tcMar>
              <w:top w:w="90" w:type="dxa"/>
              <w:start w:w="110" w:type="dxa"/>
              <w:bottom w:w="90" w:type="dxa"/>
              <w:end w:w="110" w:type="dxa"/>
            </w:tcMar>
          </w:tcPr>
          <w:p>
            <w:r>
              <w:rPr>
                <w:sz w:val="17"/>
              </w:rPr>
              <w:t>Return control gap matrix</w:t>
            </w:r>
          </w:p>
        </w:tc>
      </w:tr>
      <w:tr>
        <w:tc>
          <w:tcPr>
            <w:tcW w:type="dxa" w:w="3744"/>
            <w:vAlign w:val="center"/>
            <w:tcMar>
              <w:top w:w="90" w:type="dxa"/>
              <w:start w:w="110" w:type="dxa"/>
              <w:bottom w:w="90" w:type="dxa"/>
              <w:end w:w="110" w:type="dxa"/>
            </w:tcMar>
          </w:tcPr>
          <w:p>
            <w:r>
              <w:rPr>
                <w:sz w:val="17"/>
              </w:rPr>
              <w:t>POST /v1/diagnoses/{id}/reports</w:t>
            </w:r>
          </w:p>
        </w:tc>
        <w:tc>
          <w:tcPr>
            <w:tcW w:type="dxa" w:w="6336"/>
            <w:vAlign w:val="center"/>
            <w:tcMar>
              <w:top w:w="90" w:type="dxa"/>
              <w:start w:w="110" w:type="dxa"/>
              <w:bottom w:w="90" w:type="dxa"/>
              <w:end w:w="110" w:type="dxa"/>
            </w:tcMar>
          </w:tcPr>
          <w:p>
            <w:r>
              <w:rPr>
                <w:sz w:val="17"/>
              </w:rPr>
              <w:t>Generate diagnosis/readiness report</w:t>
            </w:r>
          </w:p>
        </w:tc>
      </w:tr>
      <w:tr>
        <w:tc>
          <w:tcPr>
            <w:tcW w:type="dxa" w:w="3744"/>
            <w:vAlign w:val="center"/>
            <w:tcMar>
              <w:top w:w="90" w:type="dxa"/>
              <w:start w:w="110" w:type="dxa"/>
              <w:bottom w:w="90" w:type="dxa"/>
              <w:end w:w="110" w:type="dxa"/>
            </w:tcMar>
          </w:tcPr>
          <w:p>
            <w:r>
              <w:rPr>
                <w:sz w:val="17"/>
              </w:rPr>
              <w:t>POST /v1/workflows/{pack}/runs</w:t>
            </w:r>
          </w:p>
        </w:tc>
        <w:tc>
          <w:tcPr>
            <w:tcW w:type="dxa" w:w="6336"/>
            <w:vAlign w:val="center"/>
            <w:tcMar>
              <w:top w:w="90" w:type="dxa"/>
              <w:start w:w="110" w:type="dxa"/>
              <w:bottom w:w="90" w:type="dxa"/>
              <w:end w:w="110" w:type="dxa"/>
            </w:tcMar>
          </w:tcPr>
          <w:p>
            <w:r>
              <w:rPr>
                <w:sz w:val="17"/>
              </w:rPr>
              <w:t>Start governed workflow</w:t>
            </w:r>
          </w:p>
        </w:tc>
      </w:tr>
      <w:tr>
        <w:tc>
          <w:tcPr>
            <w:tcW w:type="dxa" w:w="3744"/>
            <w:vAlign w:val="center"/>
            <w:tcMar>
              <w:top w:w="90" w:type="dxa"/>
              <w:start w:w="110" w:type="dxa"/>
              <w:bottom w:w="90" w:type="dxa"/>
              <w:end w:w="110" w:type="dxa"/>
            </w:tcMar>
          </w:tcPr>
          <w:p>
            <w:r>
              <w:rPr>
                <w:sz w:val="17"/>
              </w:rPr>
              <w:t>GET /v1/runs/{trace_id}</w:t>
            </w:r>
          </w:p>
        </w:tc>
        <w:tc>
          <w:tcPr>
            <w:tcW w:type="dxa" w:w="6336"/>
            <w:vAlign w:val="center"/>
            <w:tcMar>
              <w:top w:w="90" w:type="dxa"/>
              <w:start w:w="110" w:type="dxa"/>
              <w:bottom w:w="90" w:type="dxa"/>
              <w:end w:w="110" w:type="dxa"/>
            </w:tcMar>
          </w:tcPr>
          <w:p>
            <w:r>
              <w:rPr>
                <w:sz w:val="17"/>
              </w:rPr>
              <w:t>Get state and timeline</w:t>
            </w:r>
          </w:p>
        </w:tc>
      </w:tr>
      <w:tr>
        <w:tc>
          <w:tcPr>
            <w:tcW w:type="dxa" w:w="3744"/>
            <w:vAlign w:val="center"/>
            <w:tcMar>
              <w:top w:w="90" w:type="dxa"/>
              <w:start w:w="110" w:type="dxa"/>
              <w:bottom w:w="90" w:type="dxa"/>
              <w:end w:w="110" w:type="dxa"/>
            </w:tcMar>
          </w:tcPr>
          <w:p>
            <w:r>
              <w:rPr>
                <w:sz w:val="17"/>
              </w:rPr>
              <w:t>POST /v1/approvals/{id}/decision</w:t>
            </w:r>
          </w:p>
        </w:tc>
        <w:tc>
          <w:tcPr>
            <w:tcW w:type="dxa" w:w="6336"/>
            <w:vAlign w:val="center"/>
            <w:tcMar>
              <w:top w:w="90" w:type="dxa"/>
              <w:start w:w="110" w:type="dxa"/>
              <w:bottom w:w="90" w:type="dxa"/>
              <w:end w:w="110" w:type="dxa"/>
            </w:tcMar>
          </w:tcPr>
          <w:p>
            <w:r>
              <w:rPr>
                <w:sz w:val="17"/>
              </w:rPr>
              <w:t>Approve/reject/override</w:t>
            </w:r>
          </w:p>
        </w:tc>
      </w:tr>
      <w:tr>
        <w:tc>
          <w:tcPr>
            <w:tcW w:type="dxa" w:w="3744"/>
            <w:vAlign w:val="center"/>
            <w:tcMar>
              <w:top w:w="90" w:type="dxa"/>
              <w:start w:w="110" w:type="dxa"/>
              <w:bottom w:w="90" w:type="dxa"/>
              <w:end w:w="110" w:type="dxa"/>
            </w:tcMar>
          </w:tcPr>
          <w:p>
            <w:r>
              <w:rPr>
                <w:sz w:val="17"/>
              </w:rPr>
              <w:t>POST /v1/policy/evaluate</w:t>
            </w:r>
          </w:p>
        </w:tc>
        <w:tc>
          <w:tcPr>
            <w:tcW w:type="dxa" w:w="6336"/>
            <w:vAlign w:val="center"/>
            <w:tcMar>
              <w:top w:w="90" w:type="dxa"/>
              <w:start w:w="110" w:type="dxa"/>
              <w:bottom w:w="90" w:type="dxa"/>
              <w:end w:w="110" w:type="dxa"/>
            </w:tcMar>
          </w:tcPr>
          <w:p>
            <w:r>
              <w:rPr>
                <w:sz w:val="17"/>
              </w:rPr>
              <w:t>Deterministic policy evaluation</w:t>
            </w:r>
          </w:p>
        </w:tc>
      </w:tr>
      <w:tr>
        <w:tc>
          <w:tcPr>
            <w:tcW w:type="dxa" w:w="3744"/>
            <w:vAlign w:val="center"/>
            <w:tcMar>
              <w:top w:w="90" w:type="dxa"/>
              <w:start w:w="110" w:type="dxa"/>
              <w:bottom w:w="90" w:type="dxa"/>
              <w:end w:w="110" w:type="dxa"/>
            </w:tcMar>
          </w:tcPr>
          <w:p>
            <w:r>
              <w:rPr>
                <w:sz w:val="17"/>
              </w:rPr>
              <w:t>POST /v1/authority/evaluate</w:t>
            </w:r>
          </w:p>
        </w:tc>
        <w:tc>
          <w:tcPr>
            <w:tcW w:type="dxa" w:w="6336"/>
            <w:vAlign w:val="center"/>
            <w:tcMar>
              <w:top w:w="90" w:type="dxa"/>
              <w:start w:w="110" w:type="dxa"/>
              <w:bottom w:w="90" w:type="dxa"/>
              <w:end w:w="110" w:type="dxa"/>
            </w:tcMar>
          </w:tcPr>
          <w:p>
            <w:r>
              <w:rPr>
                <w:sz w:val="17"/>
              </w:rPr>
              <w:t>Delegated authority evaluation</w:t>
            </w:r>
          </w:p>
        </w:tc>
      </w:tr>
      <w:tr>
        <w:tc>
          <w:tcPr>
            <w:tcW w:type="dxa" w:w="3744"/>
            <w:vAlign w:val="center"/>
            <w:tcMar>
              <w:top w:w="90" w:type="dxa"/>
              <w:start w:w="110" w:type="dxa"/>
              <w:bottom w:w="90" w:type="dxa"/>
              <w:end w:w="110" w:type="dxa"/>
            </w:tcMar>
          </w:tcPr>
          <w:p>
            <w:r>
              <w:rPr>
                <w:sz w:val="17"/>
              </w:rPr>
              <w:t>POST /v1/execution/prepare</w:t>
            </w:r>
          </w:p>
        </w:tc>
        <w:tc>
          <w:tcPr>
            <w:tcW w:type="dxa" w:w="6336"/>
            <w:vAlign w:val="center"/>
            <w:tcMar>
              <w:top w:w="90" w:type="dxa"/>
              <w:start w:w="110" w:type="dxa"/>
              <w:bottom w:w="90" w:type="dxa"/>
              <w:end w:w="110" w:type="dxa"/>
            </w:tcMar>
          </w:tcPr>
          <w:p>
            <w:r>
              <w:rPr>
                <w:sz w:val="17"/>
              </w:rPr>
              <w:t>Create PreparedAction</w:t>
            </w:r>
          </w:p>
        </w:tc>
      </w:tr>
      <w:tr>
        <w:tc>
          <w:tcPr>
            <w:tcW w:type="dxa" w:w="3744"/>
            <w:vAlign w:val="center"/>
            <w:tcMar>
              <w:top w:w="90" w:type="dxa"/>
              <w:start w:w="110" w:type="dxa"/>
              <w:bottom w:w="90" w:type="dxa"/>
              <w:end w:w="110" w:type="dxa"/>
            </w:tcMar>
          </w:tcPr>
          <w:p>
            <w:r>
              <w:rPr>
                <w:sz w:val="17"/>
              </w:rPr>
              <w:t>POST /v1/execution/execute</w:t>
            </w:r>
          </w:p>
        </w:tc>
        <w:tc>
          <w:tcPr>
            <w:tcW w:type="dxa" w:w="6336"/>
            <w:vAlign w:val="center"/>
            <w:tcMar>
              <w:top w:w="90" w:type="dxa"/>
              <w:start w:w="110" w:type="dxa"/>
              <w:bottom w:w="90" w:type="dxa"/>
              <w:end w:w="110" w:type="dxa"/>
            </w:tcMar>
          </w:tcPr>
          <w:p>
            <w:r>
              <w:rPr>
                <w:sz w:val="17"/>
              </w:rPr>
              <w:t>Execution Gateway only</w:t>
            </w:r>
          </w:p>
        </w:tc>
      </w:tr>
      <w:tr>
        <w:tc>
          <w:tcPr>
            <w:tcW w:type="dxa" w:w="3744"/>
            <w:vAlign w:val="center"/>
            <w:tcMar>
              <w:top w:w="90" w:type="dxa"/>
              <w:start w:w="110" w:type="dxa"/>
              <w:bottom w:w="90" w:type="dxa"/>
              <w:end w:w="110" w:type="dxa"/>
            </w:tcMar>
          </w:tcPr>
          <w:p>
            <w:r>
              <w:rPr>
                <w:sz w:val="17"/>
              </w:rPr>
              <w:t>GET /v1/evidence/{id}</w:t>
            </w:r>
          </w:p>
        </w:tc>
        <w:tc>
          <w:tcPr>
            <w:tcW w:type="dxa" w:w="6336"/>
            <w:vAlign w:val="center"/>
            <w:tcMar>
              <w:top w:w="90" w:type="dxa"/>
              <w:start w:w="110" w:type="dxa"/>
              <w:bottom w:w="90" w:type="dxa"/>
              <w:end w:w="110" w:type="dxa"/>
            </w:tcMar>
          </w:tcPr>
          <w:p>
            <w:r>
              <w:rPr>
                <w:sz w:val="17"/>
              </w:rPr>
              <w:t>Retrieve evidence metadata/bundle</w:t>
            </w:r>
          </w:p>
        </w:tc>
      </w:tr>
      <w:tr>
        <w:tc>
          <w:tcPr>
            <w:tcW w:type="dxa" w:w="3744"/>
            <w:vAlign w:val="center"/>
            <w:tcMar>
              <w:top w:w="90" w:type="dxa"/>
              <w:start w:w="110" w:type="dxa"/>
              <w:bottom w:w="90" w:type="dxa"/>
              <w:end w:w="110" w:type="dxa"/>
            </w:tcMar>
          </w:tcPr>
          <w:p>
            <w:r>
              <w:rPr>
                <w:sz w:val="17"/>
              </w:rPr>
              <w:t>POST /v1/evidence/{id}/verify</w:t>
            </w:r>
          </w:p>
        </w:tc>
        <w:tc>
          <w:tcPr>
            <w:tcW w:type="dxa" w:w="6336"/>
            <w:vAlign w:val="center"/>
            <w:tcMar>
              <w:top w:w="90" w:type="dxa"/>
              <w:start w:w="110" w:type="dxa"/>
              <w:bottom w:w="90" w:type="dxa"/>
              <w:end w:w="110" w:type="dxa"/>
            </w:tcMar>
          </w:tcPr>
          <w:p>
            <w:r>
              <w:rPr>
                <w:sz w:val="17"/>
              </w:rPr>
              <w:t>Verify digest/chain/signature</w:t>
            </w:r>
          </w:p>
        </w:tc>
      </w:tr>
      <w:tr>
        <w:tc>
          <w:tcPr>
            <w:tcW w:type="dxa" w:w="3744"/>
            <w:vAlign w:val="center"/>
            <w:tcMar>
              <w:top w:w="90" w:type="dxa"/>
              <w:start w:w="110" w:type="dxa"/>
              <w:bottom w:w="90" w:type="dxa"/>
              <w:end w:w="110" w:type="dxa"/>
            </w:tcMar>
          </w:tcPr>
          <w:p>
            <w:r>
              <w:rPr>
                <w:sz w:val="17"/>
              </w:rPr>
              <w:t>GET /v1/agentops</w:t>
            </w:r>
          </w:p>
        </w:tc>
        <w:tc>
          <w:tcPr>
            <w:tcW w:type="dxa" w:w="6336"/>
            <w:vAlign w:val="center"/>
            <w:tcMar>
              <w:top w:w="90" w:type="dxa"/>
              <w:start w:w="110" w:type="dxa"/>
              <w:bottom w:w="90" w:type="dxa"/>
              <w:end w:w="110" w:type="dxa"/>
            </w:tcMar>
          </w:tcPr>
          <w:p>
            <w:r>
              <w:rPr>
                <w:sz w:val="17"/>
              </w:rPr>
              <w:t>Operational metrics</w:t>
            </w:r>
          </w:p>
        </w:tc>
      </w:tr>
      <w:tr>
        <w:tc>
          <w:tcPr>
            <w:tcW w:type="dxa" w:w="3744"/>
            <w:vAlign w:val="center"/>
            <w:tcMar>
              <w:top w:w="90" w:type="dxa"/>
              <w:start w:w="110" w:type="dxa"/>
              <w:bottom w:w="90" w:type="dxa"/>
              <w:end w:w="110" w:type="dxa"/>
            </w:tcMar>
          </w:tcPr>
          <w:p>
            <w:r>
              <w:rPr>
                <w:sz w:val="17"/>
              </w:rPr>
              <w:t>GET /v1/readiness/{system_id}</w:t>
            </w:r>
          </w:p>
        </w:tc>
        <w:tc>
          <w:tcPr>
            <w:tcW w:type="dxa" w:w="6336"/>
            <w:vAlign w:val="center"/>
            <w:tcMar>
              <w:top w:w="90" w:type="dxa"/>
              <w:start w:w="110" w:type="dxa"/>
              <w:bottom w:w="90" w:type="dxa"/>
              <w:end w:w="110" w:type="dxa"/>
            </w:tcMar>
          </w:tcPr>
          <w:p>
            <w:r>
              <w:rPr>
                <w:sz w:val="17"/>
              </w:rPr>
              <w:t>Continuous readiness view</w:t>
            </w:r>
          </w:p>
        </w:tc>
      </w:tr>
    </w:tbl>
    <w:p/>
    <w:p>
      <w:pPr>
        <w:pStyle w:val="Heading1"/>
      </w:pPr>
      <w:r>
        <w:t>15. UI / UX Technical Specification</w:t>
      </w:r>
    </w:p>
    <w:p>
      <w:pPr>
        <w:pStyle w:val="Heading2"/>
      </w:pPr>
      <w:r>
        <w:t>15.1 Main navigation</w:t>
      </w:r>
    </w:p>
    <w:p>
      <w:r>
        <w:t>Business: Command Center | Diagnosis | Reconciliation | Exceptions | Approvals | Evidence | Readiness | Shadow ROI</w:t>
      </w:r>
    </w:p>
    <w:p>
      <w:r>
        <w:t>Administration: Integrations | Datasets | Workflows | Agents | Models | Policies | Authority | Approval Matrix | AgentOps | Tenant Settings</w:t>
      </w:r>
    </w:p>
    <w:p>
      <w:pPr>
        <w:pStyle w:val="Heading2"/>
      </w:pPr>
      <w:r>
        <w:t>15.2 Universal context bar</w:t>
      </w:r>
    </w:p>
    <w:p>
      <w:r>
        <w:t>Tenant | Environment | Entity | Signed-in role | Data freshness | Evidence health | Regulatory-pack version</w:t>
      </w:r>
    </w:p>
    <w:p>
      <w:pPr>
        <w:pStyle w:val="Heading2"/>
      </w:pPr>
      <w:r>
        <w:t>15.3 Universal actions</w:t>
      </w:r>
    </w:p>
    <w:tbl>
      <w:tblPr>
        <w:tblStyle w:val="TableGrid"/>
        <w:tblW w:type="auto" w:w="0"/>
        <w:jc w:val="center"/>
        <w:tblLook w:firstColumn="1" w:firstRow="1" w:lastColumn="0" w:lastRow="0" w:noHBand="0" w:noVBand="1" w:val="04A0"/>
      </w:tblPr>
      <w:tblGrid>
        <w:gridCol w:w="5083"/>
        <w:gridCol w:w="5083"/>
      </w:tblGrid>
      <w:tr>
        <w:tc>
          <w:tcPr>
            <w:tcW w:type="dxa" w:w="1872"/>
            <w:shd w:fill="102A56"/>
            <w:vAlign w:val="center"/>
            <w:tcMar>
              <w:top w:w="90" w:type="dxa"/>
              <w:start w:w="110" w:type="dxa"/>
              <w:bottom w:w="90" w:type="dxa"/>
              <w:end w:w="110" w:type="dxa"/>
            </w:tcMar>
          </w:tcPr>
          <w:p>
            <w:r>
              <w:rPr>
                <w:b/>
                <w:color w:val="FFFFFF"/>
                <w:sz w:val="17"/>
              </w:rPr>
              <w:t>Action</w:t>
            </w:r>
          </w:p>
        </w:tc>
        <w:tc>
          <w:tcPr>
            <w:tcW w:type="dxa" w:w="8208"/>
            <w:shd w:fill="102A56"/>
            <w:vAlign w:val="center"/>
            <w:tcMar>
              <w:top w:w="90" w:type="dxa"/>
              <w:start w:w="110" w:type="dxa"/>
              <w:bottom w:w="90" w:type="dxa"/>
              <w:end w:w="110" w:type="dxa"/>
            </w:tcMar>
          </w:tcPr>
          <w:p>
            <w:r>
              <w:rPr>
                <w:b/>
                <w:color w:val="FFFFFF"/>
                <w:sz w:val="17"/>
              </w:rPr>
              <w:t>Behavior</w:t>
            </w:r>
          </w:p>
        </w:tc>
      </w:tr>
      <w:tr>
        <w:tc>
          <w:tcPr>
            <w:tcW w:type="dxa" w:w="1872"/>
            <w:vAlign w:val="center"/>
            <w:tcMar>
              <w:top w:w="90" w:type="dxa"/>
              <w:start w:w="110" w:type="dxa"/>
              <w:bottom w:w="90" w:type="dxa"/>
              <w:end w:w="110" w:type="dxa"/>
            </w:tcMar>
          </w:tcPr>
          <w:p>
            <w:r>
              <w:rPr>
                <w:sz w:val="17"/>
              </w:rPr>
              <w:t>Why?</w:t>
            </w:r>
          </w:p>
        </w:tc>
        <w:tc>
          <w:tcPr>
            <w:tcW w:type="dxa" w:w="8208"/>
            <w:vAlign w:val="center"/>
            <w:tcMar>
              <w:top w:w="90" w:type="dxa"/>
              <w:start w:w="110" w:type="dxa"/>
              <w:bottom w:w="90" w:type="dxa"/>
              <w:end w:w="110" w:type="dxa"/>
            </w:tcMar>
          </w:tcPr>
          <w:p>
            <w:r>
              <w:rPr>
                <w:sz w:val="17"/>
              </w:rPr>
              <w:t>Show concise business rationale, reason codes, confidence, supporting sources and model/version.</w:t>
            </w:r>
          </w:p>
        </w:tc>
      </w:tr>
      <w:tr>
        <w:tc>
          <w:tcPr>
            <w:tcW w:type="dxa" w:w="1872"/>
            <w:vAlign w:val="center"/>
            <w:tcMar>
              <w:top w:w="90" w:type="dxa"/>
              <w:start w:w="110" w:type="dxa"/>
              <w:bottom w:w="90" w:type="dxa"/>
              <w:end w:w="110" w:type="dxa"/>
            </w:tcMar>
          </w:tcPr>
          <w:p>
            <w:r>
              <w:rPr>
                <w:sz w:val="17"/>
              </w:rPr>
              <w:t>View Evidence</w:t>
            </w:r>
          </w:p>
        </w:tc>
        <w:tc>
          <w:tcPr>
            <w:tcW w:type="dxa" w:w="8208"/>
            <w:vAlign w:val="center"/>
            <w:tcMar>
              <w:top w:w="90" w:type="dxa"/>
              <w:start w:w="110" w:type="dxa"/>
              <w:bottom w:w="90" w:type="dxa"/>
              <w:end w:w="110" w:type="dxa"/>
            </w:tcMar>
          </w:tcPr>
          <w:p>
            <w:r>
              <w:rPr>
                <w:sz w:val="17"/>
              </w:rPr>
              <w:t>Open evidence lineage for the current record or decision.</w:t>
            </w:r>
          </w:p>
        </w:tc>
      </w:tr>
      <w:tr>
        <w:tc>
          <w:tcPr>
            <w:tcW w:type="dxa" w:w="1872"/>
            <w:vAlign w:val="center"/>
            <w:tcMar>
              <w:top w:w="90" w:type="dxa"/>
              <w:start w:w="110" w:type="dxa"/>
              <w:bottom w:w="90" w:type="dxa"/>
              <w:end w:w="110" w:type="dxa"/>
            </w:tcMar>
          </w:tcPr>
          <w:p>
            <w:r>
              <w:rPr>
                <w:sz w:val="17"/>
              </w:rPr>
              <w:t>Verify</w:t>
            </w:r>
          </w:p>
        </w:tc>
        <w:tc>
          <w:tcPr>
            <w:tcW w:type="dxa" w:w="8208"/>
            <w:vAlign w:val="center"/>
            <w:tcMar>
              <w:top w:w="90" w:type="dxa"/>
              <w:start w:w="110" w:type="dxa"/>
              <w:bottom w:w="90" w:type="dxa"/>
              <w:end w:w="110" w:type="dxa"/>
            </w:tcMar>
          </w:tcPr>
          <w:p>
            <w:r>
              <w:rPr>
                <w:sz w:val="17"/>
              </w:rPr>
              <w:t>Run backend verification of evidence digest, hash chain and signature.</w:t>
            </w:r>
          </w:p>
        </w:tc>
      </w:tr>
      <w:tr>
        <w:tc>
          <w:tcPr>
            <w:tcW w:type="dxa" w:w="1872"/>
            <w:vAlign w:val="center"/>
            <w:tcMar>
              <w:top w:w="90" w:type="dxa"/>
              <w:start w:w="110" w:type="dxa"/>
              <w:bottom w:w="90" w:type="dxa"/>
              <w:end w:w="110" w:type="dxa"/>
            </w:tcMar>
          </w:tcPr>
          <w:p>
            <w:r>
              <w:rPr>
                <w:sz w:val="17"/>
              </w:rPr>
              <w:t>Policy</w:t>
            </w:r>
          </w:p>
        </w:tc>
        <w:tc>
          <w:tcPr>
            <w:tcW w:type="dxa" w:w="8208"/>
            <w:vAlign w:val="center"/>
            <w:tcMar>
              <w:top w:w="90" w:type="dxa"/>
              <w:start w:w="110" w:type="dxa"/>
              <w:bottom w:w="90" w:type="dxa"/>
              <w:end w:w="110" w:type="dxa"/>
            </w:tcMar>
          </w:tcPr>
          <w:p>
            <w:r>
              <w:rPr>
                <w:sz w:val="17"/>
              </w:rPr>
              <w:t>Show applicable policy/version and ALLOW/ESCALATE/DENY decision.</w:t>
            </w:r>
          </w:p>
        </w:tc>
      </w:tr>
      <w:tr>
        <w:tc>
          <w:tcPr>
            <w:tcW w:type="dxa" w:w="1872"/>
            <w:vAlign w:val="center"/>
            <w:tcMar>
              <w:top w:w="90" w:type="dxa"/>
              <w:start w:w="110" w:type="dxa"/>
              <w:bottom w:w="90" w:type="dxa"/>
              <w:end w:w="110" w:type="dxa"/>
            </w:tcMar>
          </w:tcPr>
          <w:p>
            <w:r>
              <w:rPr>
                <w:sz w:val="17"/>
              </w:rPr>
              <w:t>Approval</w:t>
            </w:r>
          </w:p>
        </w:tc>
        <w:tc>
          <w:tcPr>
            <w:tcW w:type="dxa" w:w="8208"/>
            <w:vAlign w:val="center"/>
            <w:tcMar>
              <w:top w:w="90" w:type="dxa"/>
              <w:start w:w="110" w:type="dxa"/>
              <w:bottom w:w="90" w:type="dxa"/>
              <w:end w:w="110" w:type="dxa"/>
            </w:tcMar>
          </w:tcPr>
          <w:p>
            <w:r>
              <w:rPr>
                <w:sz w:val="17"/>
              </w:rPr>
              <w:t>Show required/actual human authority path and decision history.</w:t>
            </w:r>
          </w:p>
        </w:tc>
      </w:tr>
    </w:tbl>
    <w:p/>
    <w:p>
      <w:pPr>
        <w:pStyle w:val="Heading2"/>
      </w:pPr>
      <w:r>
        <w:t>15.4 Visual design direction</w:t>
      </w:r>
    </w:p>
    <w:p>
      <w:pPr>
        <w:pStyle w:val="ListBullet"/>
      </w:pPr>
      <w:r>
        <w:t>Enterprise financial-control aesthetic: clear, restrained, data-dense but readable.</w:t>
      </w:r>
    </w:p>
    <w:p>
      <w:pPr>
        <w:pStyle w:val="ListBullet"/>
      </w:pPr>
      <w:r>
        <w:t>Avoid chatbot-first UX, excessive gradients and decorative AI imagery.</w:t>
      </w:r>
    </w:p>
    <w:p>
      <w:pPr>
        <w:pStyle w:val="ListBullet"/>
      </w:pPr>
      <w:r>
        <w:t>Make evidence status, risk, approval state and environment always visible.</w:t>
      </w:r>
    </w:p>
    <w:p>
      <w:pPr>
        <w:pStyle w:val="ListBullet"/>
      </w:pPr>
      <w:r>
        <w:t>All synthetic demo values must be visibly labelled DEMO / SYNTHETIC.</w:t>
      </w:r>
    </w:p>
    <w:p>
      <w:pPr>
        <w:pStyle w:val="ListBullet"/>
      </w:pPr>
      <w:r>
        <w:t>Every KPI should drill to underlying records; material records expose Why? and View Evidence.</w:t>
      </w:r>
    </w:p>
    <w:p>
      <w:pPr>
        <w:pStyle w:val="Heading1"/>
      </w:pPr>
      <w:r>
        <w:t>16. Security Requirements</w:t>
      </w:r>
    </w:p>
    <w:tbl>
      <w:tblPr>
        <w:tblStyle w:val="TableGrid"/>
        <w:tblW w:type="auto" w:w="0"/>
        <w:jc w:val="center"/>
        <w:tblLook w:firstColumn="1" w:firstRow="1" w:lastColumn="0" w:lastRow="0" w:noHBand="0" w:noVBand="1" w:val="04A0"/>
      </w:tblPr>
      <w:tblGrid>
        <w:gridCol w:w="5083"/>
        <w:gridCol w:w="5083"/>
      </w:tblGrid>
      <w:tr>
        <w:tc>
          <w:tcPr>
            <w:tcW w:type="dxa" w:w="2088"/>
            <w:shd w:fill="102A56"/>
            <w:vAlign w:val="center"/>
            <w:tcMar>
              <w:top w:w="90" w:type="dxa"/>
              <w:start w:w="110" w:type="dxa"/>
              <w:bottom w:w="90" w:type="dxa"/>
              <w:end w:w="110" w:type="dxa"/>
            </w:tcMar>
          </w:tcPr>
          <w:p>
            <w:r>
              <w:rPr>
                <w:b/>
                <w:color w:val="FFFFFF"/>
                <w:sz w:val="17"/>
              </w:rPr>
              <w:t>Control</w:t>
            </w:r>
          </w:p>
        </w:tc>
        <w:tc>
          <w:tcPr>
            <w:tcW w:type="dxa" w:w="7992"/>
            <w:shd w:fill="102A56"/>
            <w:vAlign w:val="center"/>
            <w:tcMar>
              <w:top w:w="90" w:type="dxa"/>
              <w:start w:w="110" w:type="dxa"/>
              <w:bottom w:w="90" w:type="dxa"/>
              <w:end w:w="110" w:type="dxa"/>
            </w:tcMar>
          </w:tcPr>
          <w:p>
            <w:r>
              <w:rPr>
                <w:b/>
                <w:color w:val="FFFFFF"/>
                <w:sz w:val="17"/>
              </w:rPr>
              <w:t>POC requirement</w:t>
            </w:r>
          </w:p>
        </w:tc>
      </w:tr>
      <w:tr>
        <w:tc>
          <w:tcPr>
            <w:tcW w:type="dxa" w:w="2088"/>
            <w:vAlign w:val="center"/>
            <w:tcMar>
              <w:top w:w="90" w:type="dxa"/>
              <w:start w:w="110" w:type="dxa"/>
              <w:bottom w:w="90" w:type="dxa"/>
              <w:end w:w="110" w:type="dxa"/>
            </w:tcMar>
          </w:tcPr>
          <w:p>
            <w:r>
              <w:rPr>
                <w:sz w:val="17"/>
              </w:rPr>
              <w:t>Authentication</w:t>
            </w:r>
          </w:p>
        </w:tc>
        <w:tc>
          <w:tcPr>
            <w:tcW w:type="dxa" w:w="7992"/>
            <w:vAlign w:val="center"/>
            <w:tcMar>
              <w:top w:w="90" w:type="dxa"/>
              <w:start w:w="110" w:type="dxa"/>
              <w:bottom w:w="90" w:type="dxa"/>
              <w:end w:w="110" w:type="dxa"/>
            </w:tcMar>
          </w:tcPr>
          <w:p>
            <w:r>
              <w:rPr>
                <w:sz w:val="17"/>
              </w:rPr>
              <w:t>Cognito; MFA-capable; future SAML/OIDC federation</w:t>
            </w:r>
          </w:p>
        </w:tc>
      </w:tr>
      <w:tr>
        <w:tc>
          <w:tcPr>
            <w:tcW w:type="dxa" w:w="2088"/>
            <w:vAlign w:val="center"/>
            <w:tcMar>
              <w:top w:w="90" w:type="dxa"/>
              <w:start w:w="110" w:type="dxa"/>
              <w:bottom w:w="90" w:type="dxa"/>
              <w:end w:w="110" w:type="dxa"/>
            </w:tcMar>
          </w:tcPr>
          <w:p>
            <w:r>
              <w:rPr>
                <w:sz w:val="17"/>
              </w:rPr>
              <w:t>Authorization</w:t>
            </w:r>
          </w:p>
        </w:tc>
        <w:tc>
          <w:tcPr>
            <w:tcW w:type="dxa" w:w="7992"/>
            <w:vAlign w:val="center"/>
            <w:tcMar>
              <w:top w:w="90" w:type="dxa"/>
              <w:start w:w="110" w:type="dxa"/>
              <w:bottom w:w="90" w:type="dxa"/>
              <w:end w:w="110" w:type="dxa"/>
            </w:tcMar>
          </w:tcPr>
          <w:p>
            <w:r>
              <w:rPr>
                <w:sz w:val="17"/>
              </w:rPr>
              <w:t>RBAC + tenant context; ABAC for entity/data/action scope</w:t>
            </w:r>
          </w:p>
        </w:tc>
      </w:tr>
      <w:tr>
        <w:tc>
          <w:tcPr>
            <w:tcW w:type="dxa" w:w="2088"/>
            <w:vAlign w:val="center"/>
            <w:tcMar>
              <w:top w:w="90" w:type="dxa"/>
              <w:start w:w="110" w:type="dxa"/>
              <w:bottom w:w="90" w:type="dxa"/>
              <w:end w:w="110" w:type="dxa"/>
            </w:tcMar>
          </w:tcPr>
          <w:p>
            <w:r>
              <w:rPr>
                <w:sz w:val="17"/>
              </w:rPr>
              <w:t>Tenant isolation</w:t>
            </w:r>
          </w:p>
        </w:tc>
        <w:tc>
          <w:tcPr>
            <w:tcW w:type="dxa" w:w="7992"/>
            <w:vAlign w:val="center"/>
            <w:tcMar>
              <w:top w:w="90" w:type="dxa"/>
              <w:start w:w="110" w:type="dxa"/>
              <w:bottom w:w="90" w:type="dxa"/>
              <w:end w:w="110" w:type="dxa"/>
            </w:tcMar>
          </w:tcPr>
          <w:p>
            <w:r>
              <w:rPr>
                <w:sz w:val="17"/>
              </w:rPr>
              <w:t>Automated negative tests across API, storage and evidence</w:t>
            </w:r>
          </w:p>
        </w:tc>
      </w:tr>
      <w:tr>
        <w:tc>
          <w:tcPr>
            <w:tcW w:type="dxa" w:w="2088"/>
            <w:vAlign w:val="center"/>
            <w:tcMar>
              <w:top w:w="90" w:type="dxa"/>
              <w:start w:w="110" w:type="dxa"/>
              <w:bottom w:w="90" w:type="dxa"/>
              <w:end w:w="110" w:type="dxa"/>
            </w:tcMar>
          </w:tcPr>
          <w:p>
            <w:r>
              <w:rPr>
                <w:sz w:val="17"/>
              </w:rPr>
              <w:t>Secrets</w:t>
            </w:r>
          </w:p>
        </w:tc>
        <w:tc>
          <w:tcPr>
            <w:tcW w:type="dxa" w:w="7992"/>
            <w:vAlign w:val="center"/>
            <w:tcMar>
              <w:top w:w="90" w:type="dxa"/>
              <w:start w:w="110" w:type="dxa"/>
              <w:bottom w:w="90" w:type="dxa"/>
              <w:end w:w="110" w:type="dxa"/>
            </w:tcMar>
          </w:tcPr>
          <w:p>
            <w:r>
              <w:rPr>
                <w:sz w:val="17"/>
              </w:rPr>
              <w:t>Secrets Manager; never in repository/image/frontend</w:t>
            </w:r>
          </w:p>
        </w:tc>
      </w:tr>
      <w:tr>
        <w:tc>
          <w:tcPr>
            <w:tcW w:type="dxa" w:w="2088"/>
            <w:vAlign w:val="center"/>
            <w:tcMar>
              <w:top w:w="90" w:type="dxa"/>
              <w:start w:w="110" w:type="dxa"/>
              <w:bottom w:w="90" w:type="dxa"/>
              <w:end w:w="110" w:type="dxa"/>
            </w:tcMar>
          </w:tcPr>
          <w:p>
            <w:r>
              <w:rPr>
                <w:sz w:val="17"/>
              </w:rPr>
              <w:t>Network</w:t>
            </w:r>
          </w:p>
        </w:tc>
        <w:tc>
          <w:tcPr>
            <w:tcW w:type="dxa" w:w="7992"/>
            <w:vAlign w:val="center"/>
            <w:tcMar>
              <w:top w:w="90" w:type="dxa"/>
              <w:start w:w="110" w:type="dxa"/>
              <w:bottom w:w="90" w:type="dxa"/>
              <w:end w:w="110" w:type="dxa"/>
            </w:tcMar>
          </w:tcPr>
          <w:p>
            <w:r>
              <w:rPr>
                <w:sz w:val="17"/>
              </w:rPr>
              <w:t>Private DBs; least-privilege security groups</w:t>
            </w:r>
          </w:p>
        </w:tc>
      </w:tr>
      <w:tr>
        <w:tc>
          <w:tcPr>
            <w:tcW w:type="dxa" w:w="2088"/>
            <w:vAlign w:val="center"/>
            <w:tcMar>
              <w:top w:w="90" w:type="dxa"/>
              <w:start w:w="110" w:type="dxa"/>
              <w:bottom w:w="90" w:type="dxa"/>
              <w:end w:w="110" w:type="dxa"/>
            </w:tcMar>
          </w:tcPr>
          <w:p>
            <w:r>
              <w:rPr>
                <w:sz w:val="17"/>
              </w:rPr>
              <w:t>Service identity</w:t>
            </w:r>
          </w:p>
        </w:tc>
        <w:tc>
          <w:tcPr>
            <w:tcW w:type="dxa" w:w="7992"/>
            <w:vAlign w:val="center"/>
            <w:tcMar>
              <w:top w:w="90" w:type="dxa"/>
              <w:start w:w="110" w:type="dxa"/>
              <w:bottom w:w="90" w:type="dxa"/>
              <w:end w:w="110" w:type="dxa"/>
            </w:tcMar>
          </w:tcPr>
          <w:p>
            <w:r>
              <w:rPr>
                <w:sz w:val="17"/>
              </w:rPr>
              <w:t>Separate ECS task roles; no shared broad runtime role</w:t>
            </w:r>
          </w:p>
        </w:tc>
      </w:tr>
      <w:tr>
        <w:tc>
          <w:tcPr>
            <w:tcW w:type="dxa" w:w="2088"/>
            <w:vAlign w:val="center"/>
            <w:tcMar>
              <w:top w:w="90" w:type="dxa"/>
              <w:start w:w="110" w:type="dxa"/>
              <w:bottom w:w="90" w:type="dxa"/>
              <w:end w:w="110" w:type="dxa"/>
            </w:tcMar>
          </w:tcPr>
          <w:p>
            <w:r>
              <w:rPr>
                <w:sz w:val="17"/>
              </w:rPr>
              <w:t>Agent authority</w:t>
            </w:r>
          </w:p>
        </w:tc>
        <w:tc>
          <w:tcPr>
            <w:tcW w:type="dxa" w:w="7992"/>
            <w:vAlign w:val="center"/>
            <w:tcMar>
              <w:top w:w="90" w:type="dxa"/>
              <w:start w:w="110" w:type="dxa"/>
              <w:bottom w:w="90" w:type="dxa"/>
              <w:end w:w="110" w:type="dxa"/>
            </w:tcMar>
          </w:tcPr>
          <w:p>
            <w:r>
              <w:rPr>
                <w:sz w:val="17"/>
              </w:rPr>
              <w:t>Manifest-scoped datasets/tools/actions; unauthorized requests denied and evidenced</w:t>
            </w:r>
          </w:p>
        </w:tc>
      </w:tr>
      <w:tr>
        <w:tc>
          <w:tcPr>
            <w:tcW w:type="dxa" w:w="2088"/>
            <w:vAlign w:val="center"/>
            <w:tcMar>
              <w:top w:w="90" w:type="dxa"/>
              <w:start w:w="110" w:type="dxa"/>
              <w:bottom w:w="90" w:type="dxa"/>
              <w:end w:w="110" w:type="dxa"/>
            </w:tcMar>
          </w:tcPr>
          <w:p>
            <w:r>
              <w:rPr>
                <w:sz w:val="17"/>
              </w:rPr>
              <w:t>Execution</w:t>
            </w:r>
          </w:p>
        </w:tc>
        <w:tc>
          <w:tcPr>
            <w:tcW w:type="dxa" w:w="7992"/>
            <w:vAlign w:val="center"/>
            <w:tcMar>
              <w:top w:w="90" w:type="dxa"/>
              <w:start w:w="110" w:type="dxa"/>
              <w:bottom w:w="90" w:type="dxa"/>
              <w:end w:w="110" w:type="dxa"/>
            </w:tcMar>
          </w:tcPr>
          <w:p>
            <w:r>
              <w:rPr>
                <w:sz w:val="17"/>
              </w:rPr>
              <w:t>Only Execution Gateway owns write connector identity</w:t>
            </w:r>
          </w:p>
        </w:tc>
      </w:tr>
      <w:tr>
        <w:tc>
          <w:tcPr>
            <w:tcW w:type="dxa" w:w="2088"/>
            <w:vAlign w:val="center"/>
            <w:tcMar>
              <w:top w:w="90" w:type="dxa"/>
              <w:start w:w="110" w:type="dxa"/>
              <w:bottom w:w="90" w:type="dxa"/>
              <w:end w:w="110" w:type="dxa"/>
            </w:tcMar>
          </w:tcPr>
          <w:p>
            <w:r>
              <w:rPr>
                <w:sz w:val="17"/>
              </w:rPr>
              <w:t>Encryption</w:t>
            </w:r>
          </w:p>
        </w:tc>
        <w:tc>
          <w:tcPr>
            <w:tcW w:type="dxa" w:w="7992"/>
            <w:vAlign w:val="center"/>
            <w:tcMar>
              <w:top w:w="90" w:type="dxa"/>
              <w:start w:w="110" w:type="dxa"/>
              <w:bottom w:w="90" w:type="dxa"/>
              <w:end w:w="110" w:type="dxa"/>
            </w:tcMar>
          </w:tcPr>
          <w:p>
            <w:r>
              <w:rPr>
                <w:sz w:val="17"/>
              </w:rPr>
              <w:t>TLS in transit; KMS-backed encryption at rest</w:t>
            </w:r>
          </w:p>
        </w:tc>
      </w:tr>
      <w:tr>
        <w:tc>
          <w:tcPr>
            <w:tcW w:type="dxa" w:w="2088"/>
            <w:vAlign w:val="center"/>
            <w:tcMar>
              <w:top w:w="90" w:type="dxa"/>
              <w:start w:w="110" w:type="dxa"/>
              <w:bottom w:w="90" w:type="dxa"/>
              <w:end w:w="110" w:type="dxa"/>
            </w:tcMar>
          </w:tcPr>
          <w:p>
            <w:r>
              <w:rPr>
                <w:sz w:val="17"/>
              </w:rPr>
              <w:t>Evidence signing</w:t>
            </w:r>
          </w:p>
        </w:tc>
        <w:tc>
          <w:tcPr>
            <w:tcW w:type="dxa" w:w="7992"/>
            <w:vAlign w:val="center"/>
            <w:tcMar>
              <w:top w:w="90" w:type="dxa"/>
              <w:start w:w="110" w:type="dxa"/>
              <w:bottom w:w="90" w:type="dxa"/>
              <w:end w:w="110" w:type="dxa"/>
            </w:tcMar>
          </w:tcPr>
          <w:p>
            <w:r>
              <w:rPr>
                <w:sz w:val="17"/>
              </w:rPr>
              <w:t>Asymmetric KMS/HSM-backed key; version recorded</w:t>
            </w:r>
          </w:p>
        </w:tc>
      </w:tr>
      <w:tr>
        <w:tc>
          <w:tcPr>
            <w:tcW w:type="dxa" w:w="2088"/>
            <w:vAlign w:val="center"/>
            <w:tcMar>
              <w:top w:w="90" w:type="dxa"/>
              <w:start w:w="110" w:type="dxa"/>
              <w:bottom w:w="90" w:type="dxa"/>
              <w:end w:w="110" w:type="dxa"/>
            </w:tcMar>
          </w:tcPr>
          <w:p>
            <w:r>
              <w:rPr>
                <w:sz w:val="17"/>
              </w:rPr>
              <w:t>Break glass</w:t>
            </w:r>
          </w:p>
        </w:tc>
        <w:tc>
          <w:tcPr>
            <w:tcW w:type="dxa" w:w="7992"/>
            <w:vAlign w:val="center"/>
            <w:tcMar>
              <w:top w:w="90" w:type="dxa"/>
              <w:start w:w="110" w:type="dxa"/>
              <w:bottom w:w="90" w:type="dxa"/>
              <w:end w:w="110" w:type="dxa"/>
            </w:tcMar>
          </w:tcPr>
          <w:p>
            <w:r>
              <w:rPr>
                <w:sz w:val="17"/>
              </w:rPr>
              <w:t>Named, MFA-protected, time-bound, reasoned and evidenced</w:t>
            </w:r>
          </w:p>
        </w:tc>
      </w:tr>
      <w:tr>
        <w:tc>
          <w:tcPr>
            <w:tcW w:type="dxa" w:w="2088"/>
            <w:vAlign w:val="center"/>
            <w:tcMar>
              <w:top w:w="90" w:type="dxa"/>
              <w:start w:w="110" w:type="dxa"/>
              <w:bottom w:w="90" w:type="dxa"/>
              <w:end w:w="110" w:type="dxa"/>
            </w:tcMar>
          </w:tcPr>
          <w:p>
            <w:r>
              <w:rPr>
                <w:sz w:val="17"/>
              </w:rPr>
              <w:t>Audit</w:t>
            </w:r>
          </w:p>
        </w:tc>
        <w:tc>
          <w:tcPr>
            <w:tcW w:type="dxa" w:w="7992"/>
            <w:vAlign w:val="center"/>
            <w:tcMar>
              <w:top w:w="90" w:type="dxa"/>
              <w:start w:w="110" w:type="dxa"/>
              <w:bottom w:w="90" w:type="dxa"/>
              <w:end w:w="110" w:type="dxa"/>
            </w:tcMar>
          </w:tcPr>
          <w:p>
            <w:r>
              <w:rPr>
                <w:sz w:val="17"/>
              </w:rPr>
              <w:t>Admin/security logs separate from Evidence Fabric decision evidence</w:t>
            </w:r>
          </w:p>
        </w:tc>
      </w:tr>
    </w:tbl>
    <w:p/>
    <w:p>
      <w:pPr>
        <w:pStyle w:val="Heading1"/>
      </w:pPr>
      <w:r>
        <w:t>17. Observability, AgentOps and Economics</w:t>
      </w:r>
    </w:p>
    <w:tbl>
      <w:tblPr>
        <w:tblStyle w:val="TableGrid"/>
        <w:tblW w:type="auto" w:w="0"/>
        <w:jc w:val="center"/>
        <w:tblLook w:firstColumn="1" w:firstRow="1" w:lastColumn="0" w:lastRow="0" w:noHBand="0" w:noVBand="1" w:val="04A0"/>
      </w:tblPr>
      <w:tblGrid>
        <w:gridCol w:w="5083"/>
        <w:gridCol w:w="5083"/>
      </w:tblGrid>
      <w:tr>
        <w:tc>
          <w:tcPr>
            <w:tcW w:type="dxa" w:w="2016"/>
            <w:shd w:fill="102A56"/>
            <w:vAlign w:val="center"/>
            <w:tcMar>
              <w:top w:w="90" w:type="dxa"/>
              <w:start w:w="110" w:type="dxa"/>
              <w:bottom w:w="90" w:type="dxa"/>
              <w:end w:w="110" w:type="dxa"/>
            </w:tcMar>
          </w:tcPr>
          <w:p>
            <w:r>
              <w:rPr>
                <w:b/>
                <w:color w:val="FFFFFF"/>
                <w:sz w:val="17"/>
              </w:rPr>
              <w:t>Dimension</w:t>
            </w:r>
          </w:p>
        </w:tc>
        <w:tc>
          <w:tcPr>
            <w:tcW w:type="dxa" w:w="8064"/>
            <w:shd w:fill="102A56"/>
            <w:vAlign w:val="center"/>
            <w:tcMar>
              <w:top w:w="90" w:type="dxa"/>
              <w:start w:w="110" w:type="dxa"/>
              <w:bottom w:w="90" w:type="dxa"/>
              <w:end w:w="110" w:type="dxa"/>
            </w:tcMar>
          </w:tcPr>
          <w:p>
            <w:r>
              <w:rPr>
                <w:b/>
                <w:color w:val="FFFFFF"/>
                <w:sz w:val="17"/>
              </w:rPr>
              <w:t>Metrics</w:t>
            </w:r>
          </w:p>
        </w:tc>
      </w:tr>
      <w:tr>
        <w:tc>
          <w:tcPr>
            <w:tcW w:type="dxa" w:w="2016"/>
            <w:vAlign w:val="center"/>
            <w:tcMar>
              <w:top w:w="90" w:type="dxa"/>
              <w:start w:w="110" w:type="dxa"/>
              <w:bottom w:w="90" w:type="dxa"/>
              <w:end w:w="110" w:type="dxa"/>
            </w:tcMar>
          </w:tcPr>
          <w:p>
            <w:r>
              <w:rPr>
                <w:sz w:val="17"/>
              </w:rPr>
              <w:t>Workflow</w:t>
            </w:r>
          </w:p>
        </w:tc>
        <w:tc>
          <w:tcPr>
            <w:tcW w:type="dxa" w:w="8064"/>
            <w:vAlign w:val="center"/>
            <w:tcMar>
              <w:top w:w="90" w:type="dxa"/>
              <w:start w:w="110" w:type="dxa"/>
              <w:bottom w:w="90" w:type="dxa"/>
              <w:end w:w="110" w:type="dxa"/>
            </w:tcMar>
          </w:tcPr>
          <w:p>
            <w:r>
              <w:rPr>
                <w:sz w:val="17"/>
              </w:rPr>
              <w:t>runs, success/failure, duration, retries, exception age</w:t>
            </w:r>
          </w:p>
        </w:tc>
      </w:tr>
      <w:tr>
        <w:tc>
          <w:tcPr>
            <w:tcW w:type="dxa" w:w="2016"/>
            <w:vAlign w:val="center"/>
            <w:tcMar>
              <w:top w:w="90" w:type="dxa"/>
              <w:start w:w="110" w:type="dxa"/>
              <w:bottom w:w="90" w:type="dxa"/>
              <w:end w:w="110" w:type="dxa"/>
            </w:tcMar>
          </w:tcPr>
          <w:p>
            <w:r>
              <w:rPr>
                <w:sz w:val="17"/>
              </w:rPr>
              <w:t>Agent</w:t>
            </w:r>
          </w:p>
        </w:tc>
        <w:tc>
          <w:tcPr>
            <w:tcW w:type="dxa" w:w="8064"/>
            <w:vAlign w:val="center"/>
            <w:tcMar>
              <w:top w:w="90" w:type="dxa"/>
              <w:start w:w="110" w:type="dxa"/>
              <w:bottom w:w="90" w:type="dxa"/>
              <w:end w:w="110" w:type="dxa"/>
            </w:tcMar>
          </w:tcPr>
          <w:p>
            <w:r>
              <w:rPr>
                <w:sz w:val="17"/>
              </w:rPr>
              <w:t>success, latency, confidence distribution, escalation, unauthorized tool requests</w:t>
            </w:r>
          </w:p>
        </w:tc>
      </w:tr>
      <w:tr>
        <w:tc>
          <w:tcPr>
            <w:tcW w:type="dxa" w:w="2016"/>
            <w:vAlign w:val="center"/>
            <w:tcMar>
              <w:top w:w="90" w:type="dxa"/>
              <w:start w:w="110" w:type="dxa"/>
              <w:bottom w:w="90" w:type="dxa"/>
              <w:end w:w="110" w:type="dxa"/>
            </w:tcMar>
          </w:tcPr>
          <w:p>
            <w:r>
              <w:rPr>
                <w:sz w:val="17"/>
              </w:rPr>
              <w:t>Model</w:t>
            </w:r>
          </w:p>
        </w:tc>
        <w:tc>
          <w:tcPr>
            <w:tcW w:type="dxa" w:w="8064"/>
            <w:vAlign w:val="center"/>
            <w:tcMar>
              <w:top w:w="90" w:type="dxa"/>
              <w:start w:w="110" w:type="dxa"/>
              <w:bottom w:w="90" w:type="dxa"/>
              <w:end w:w="110" w:type="dxa"/>
            </w:tcMar>
          </w:tcPr>
          <w:p>
            <w:r>
              <w:rPr>
                <w:sz w:val="17"/>
              </w:rPr>
              <w:t>tokens, cost, latency, provider/model/version, structured-output failures</w:t>
            </w:r>
          </w:p>
        </w:tc>
      </w:tr>
      <w:tr>
        <w:tc>
          <w:tcPr>
            <w:tcW w:type="dxa" w:w="2016"/>
            <w:vAlign w:val="center"/>
            <w:tcMar>
              <w:top w:w="90" w:type="dxa"/>
              <w:start w:w="110" w:type="dxa"/>
              <w:bottom w:w="90" w:type="dxa"/>
              <w:end w:w="110" w:type="dxa"/>
            </w:tcMar>
          </w:tcPr>
          <w:p>
            <w:r>
              <w:rPr>
                <w:sz w:val="17"/>
              </w:rPr>
              <w:t>Policy</w:t>
            </w:r>
          </w:p>
        </w:tc>
        <w:tc>
          <w:tcPr>
            <w:tcW w:type="dxa" w:w="8064"/>
            <w:vAlign w:val="center"/>
            <w:tcMar>
              <w:top w:w="90" w:type="dxa"/>
              <w:start w:w="110" w:type="dxa"/>
              <w:bottom w:w="90" w:type="dxa"/>
              <w:end w:w="110" w:type="dxa"/>
            </w:tcMar>
          </w:tcPr>
          <w:p>
            <w:r>
              <w:rPr>
                <w:sz w:val="17"/>
              </w:rPr>
              <w:t>ALLOW/ESCALATE/DENY counts, reason codes, policy version</w:t>
            </w:r>
          </w:p>
        </w:tc>
      </w:tr>
      <w:tr>
        <w:tc>
          <w:tcPr>
            <w:tcW w:type="dxa" w:w="2016"/>
            <w:vAlign w:val="center"/>
            <w:tcMar>
              <w:top w:w="90" w:type="dxa"/>
              <w:start w:w="110" w:type="dxa"/>
              <w:bottom w:w="90" w:type="dxa"/>
              <w:end w:w="110" w:type="dxa"/>
            </w:tcMar>
          </w:tcPr>
          <w:p>
            <w:r>
              <w:rPr>
                <w:sz w:val="17"/>
              </w:rPr>
              <w:t>Approval</w:t>
            </w:r>
          </w:p>
        </w:tc>
        <w:tc>
          <w:tcPr>
            <w:tcW w:type="dxa" w:w="8064"/>
            <w:vAlign w:val="center"/>
            <w:tcMar>
              <w:top w:w="90" w:type="dxa"/>
              <w:start w:w="110" w:type="dxa"/>
              <w:bottom w:w="90" w:type="dxa"/>
              <w:end w:w="110" w:type="dxa"/>
            </w:tcMar>
          </w:tcPr>
          <w:p>
            <w:r>
              <w:rPr>
                <w:sz w:val="17"/>
              </w:rPr>
              <w:t>queue depth, approval latency, reject/override rate</w:t>
            </w:r>
          </w:p>
        </w:tc>
      </w:tr>
      <w:tr>
        <w:tc>
          <w:tcPr>
            <w:tcW w:type="dxa" w:w="2016"/>
            <w:vAlign w:val="center"/>
            <w:tcMar>
              <w:top w:w="90" w:type="dxa"/>
              <w:start w:w="110" w:type="dxa"/>
              <w:bottom w:w="90" w:type="dxa"/>
              <w:end w:w="110" w:type="dxa"/>
            </w:tcMar>
          </w:tcPr>
          <w:p>
            <w:r>
              <w:rPr>
                <w:sz w:val="17"/>
              </w:rPr>
              <w:t>Execution</w:t>
            </w:r>
          </w:p>
        </w:tc>
        <w:tc>
          <w:tcPr>
            <w:tcW w:type="dxa" w:w="8064"/>
            <w:vAlign w:val="center"/>
            <w:tcMar>
              <w:top w:w="90" w:type="dxa"/>
              <w:start w:w="110" w:type="dxa"/>
              <w:bottom w:w="90" w:type="dxa"/>
              <w:end w:w="110" w:type="dxa"/>
            </w:tcMar>
          </w:tcPr>
          <w:p>
            <w:r>
              <w:rPr>
                <w:sz w:val="17"/>
              </w:rPr>
              <w:t>success/failure, idempotent retries, connector acknowledgement</w:t>
            </w:r>
          </w:p>
        </w:tc>
      </w:tr>
      <w:tr>
        <w:tc>
          <w:tcPr>
            <w:tcW w:type="dxa" w:w="2016"/>
            <w:vAlign w:val="center"/>
            <w:tcMar>
              <w:top w:w="90" w:type="dxa"/>
              <w:start w:w="110" w:type="dxa"/>
              <w:bottom w:w="90" w:type="dxa"/>
              <w:end w:w="110" w:type="dxa"/>
            </w:tcMar>
          </w:tcPr>
          <w:p>
            <w:r>
              <w:rPr>
                <w:sz w:val="17"/>
              </w:rPr>
              <w:t>Evidence</w:t>
            </w:r>
          </w:p>
        </w:tc>
        <w:tc>
          <w:tcPr>
            <w:tcW w:type="dxa" w:w="8064"/>
            <w:vAlign w:val="center"/>
            <w:tcMar>
              <w:top w:w="90" w:type="dxa"/>
              <w:start w:w="110" w:type="dxa"/>
              <w:bottom w:w="90" w:type="dxa"/>
              <w:end w:w="110" w:type="dxa"/>
            </w:tcMar>
          </w:tcPr>
          <w:p>
            <w:r>
              <w:rPr>
                <w:sz w:val="17"/>
              </w:rPr>
              <w:t>precommit failures, coverage, verification failure, chain health</w:t>
            </w:r>
          </w:p>
        </w:tc>
      </w:tr>
      <w:tr>
        <w:tc>
          <w:tcPr>
            <w:tcW w:type="dxa" w:w="2016"/>
            <w:vAlign w:val="center"/>
            <w:tcMar>
              <w:top w:w="90" w:type="dxa"/>
              <w:start w:w="110" w:type="dxa"/>
              <w:bottom w:w="90" w:type="dxa"/>
              <w:end w:w="110" w:type="dxa"/>
            </w:tcMar>
          </w:tcPr>
          <w:p>
            <w:r>
              <w:rPr>
                <w:sz w:val="17"/>
              </w:rPr>
              <w:t>Economics</w:t>
            </w:r>
          </w:p>
        </w:tc>
        <w:tc>
          <w:tcPr>
            <w:tcW w:type="dxa" w:w="8064"/>
            <w:vAlign w:val="center"/>
            <w:tcMar>
              <w:top w:w="90" w:type="dxa"/>
              <w:start w:w="110" w:type="dxa"/>
              <w:bottom w:w="90" w:type="dxa"/>
              <w:end w:w="110" w:type="dxa"/>
            </w:tcMar>
          </w:tcPr>
          <w:p>
            <w:r>
              <w:rPr>
                <w:sz w:val="17"/>
              </w:rPr>
              <w:t>model cost, compute, evidence, human-review time, business outcome/ROI</w:t>
            </w:r>
          </w:p>
        </w:tc>
      </w:tr>
    </w:tbl>
    <w:p/>
    <w:p>
      <w:pPr>
        <w:pStyle w:val="Heading1"/>
      </w:pPr>
      <w:r>
        <w:t>18. POC Test Scenarios and Acceptance Criteria</w:t>
      </w:r>
    </w:p>
    <w:tbl>
      <w:tblPr>
        <w:tblStyle w:val="TableGrid"/>
        <w:tblW w:type="auto" w:w="0"/>
        <w:jc w:val="center"/>
        <w:tblLook w:firstColumn="1" w:firstRow="1" w:lastColumn="0" w:lastRow="0" w:noHBand="0" w:noVBand="1" w:val="04A0"/>
      </w:tblPr>
      <w:tblGrid>
        <w:gridCol w:w="5083"/>
        <w:gridCol w:w="5083"/>
      </w:tblGrid>
      <w:tr>
        <w:tc>
          <w:tcPr>
            <w:tcW w:type="dxa" w:w="2952"/>
            <w:shd w:fill="102A56"/>
            <w:vAlign w:val="center"/>
            <w:tcMar>
              <w:top w:w="90" w:type="dxa"/>
              <w:start w:w="110" w:type="dxa"/>
              <w:bottom w:w="90" w:type="dxa"/>
              <w:end w:w="110" w:type="dxa"/>
            </w:tcMar>
          </w:tcPr>
          <w:p>
            <w:r>
              <w:rPr>
                <w:b/>
                <w:color w:val="FFFFFF"/>
                <w:sz w:val="17"/>
              </w:rPr>
              <w:t>Scenario</w:t>
            </w:r>
          </w:p>
        </w:tc>
        <w:tc>
          <w:tcPr>
            <w:tcW w:type="dxa" w:w="7128"/>
            <w:shd w:fill="102A56"/>
            <w:vAlign w:val="center"/>
            <w:tcMar>
              <w:top w:w="90" w:type="dxa"/>
              <w:start w:w="110" w:type="dxa"/>
              <w:bottom w:w="90" w:type="dxa"/>
              <w:end w:w="110" w:type="dxa"/>
            </w:tcMar>
          </w:tcPr>
          <w:p>
            <w:r>
              <w:rPr>
                <w:b/>
                <w:color w:val="FFFFFF"/>
                <w:sz w:val="17"/>
              </w:rPr>
              <w:t>Required behavior</w:t>
            </w:r>
          </w:p>
        </w:tc>
      </w:tr>
      <w:tr>
        <w:tc>
          <w:tcPr>
            <w:tcW w:type="dxa" w:w="2952"/>
            <w:vAlign w:val="center"/>
            <w:tcMar>
              <w:top w:w="90" w:type="dxa"/>
              <w:start w:w="110" w:type="dxa"/>
              <w:bottom w:w="90" w:type="dxa"/>
              <w:end w:w="110" w:type="dxa"/>
            </w:tcMar>
          </w:tcPr>
          <w:p>
            <w:r>
              <w:rPr>
                <w:sz w:val="17"/>
              </w:rPr>
              <w:t>Exact match</w:t>
            </w:r>
          </w:p>
        </w:tc>
        <w:tc>
          <w:tcPr>
            <w:tcW w:type="dxa" w:w="7128"/>
            <w:vAlign w:val="center"/>
            <w:tcMar>
              <w:top w:w="90" w:type="dxa"/>
              <w:start w:w="110" w:type="dxa"/>
              <w:bottom w:w="90" w:type="dxa"/>
              <w:end w:w="110" w:type="dxa"/>
            </w:tcMar>
          </w:tcPr>
          <w:p>
            <w:r>
              <w:rPr>
                <w:sz w:val="17"/>
              </w:rPr>
              <w:t>Straight-through eligible only if policy permits; evidence complete</w:t>
            </w:r>
          </w:p>
        </w:tc>
      </w:tr>
      <w:tr>
        <w:tc>
          <w:tcPr>
            <w:tcW w:type="dxa" w:w="2952"/>
            <w:vAlign w:val="center"/>
            <w:tcMar>
              <w:top w:w="90" w:type="dxa"/>
              <w:start w:w="110" w:type="dxa"/>
              <w:bottom w:w="90" w:type="dxa"/>
              <w:end w:w="110" w:type="dxa"/>
            </w:tcMar>
          </w:tcPr>
          <w:p>
            <w:r>
              <w:rPr>
                <w:sz w:val="17"/>
              </w:rPr>
              <w:t>Ambiguous match</w:t>
            </w:r>
          </w:p>
        </w:tc>
        <w:tc>
          <w:tcPr>
            <w:tcW w:type="dxa" w:w="7128"/>
            <w:vAlign w:val="center"/>
            <w:tcMar>
              <w:top w:w="90" w:type="dxa"/>
              <w:start w:w="110" w:type="dxa"/>
              <w:bottom w:w="90" w:type="dxa"/>
              <w:end w:w="110" w:type="dxa"/>
            </w:tcMar>
          </w:tcPr>
          <w:p>
            <w:r>
              <w:rPr>
                <w:sz w:val="17"/>
              </w:rPr>
              <w:t>Human review required</w:t>
            </w:r>
          </w:p>
        </w:tc>
      </w:tr>
      <w:tr>
        <w:tc>
          <w:tcPr>
            <w:tcW w:type="dxa" w:w="2952"/>
            <w:vAlign w:val="center"/>
            <w:tcMar>
              <w:top w:w="90" w:type="dxa"/>
              <w:start w:w="110" w:type="dxa"/>
              <w:bottom w:w="90" w:type="dxa"/>
              <w:end w:w="110" w:type="dxa"/>
            </w:tcMar>
          </w:tcPr>
          <w:p>
            <w:r>
              <w:rPr>
                <w:sz w:val="17"/>
              </w:rPr>
              <w:t>Duplicate receipt/action</w:t>
            </w:r>
          </w:p>
        </w:tc>
        <w:tc>
          <w:tcPr>
            <w:tcW w:type="dxa" w:w="7128"/>
            <w:vAlign w:val="center"/>
            <w:tcMar>
              <w:top w:w="90" w:type="dxa"/>
              <w:start w:w="110" w:type="dxa"/>
              <w:bottom w:w="90" w:type="dxa"/>
              <w:end w:w="110" w:type="dxa"/>
            </w:tcMar>
          </w:tcPr>
          <w:p>
            <w:r>
              <w:rPr>
                <w:sz w:val="17"/>
              </w:rPr>
              <w:t>DENY or idempotent no-op; no duplicate side effect</w:t>
            </w:r>
          </w:p>
        </w:tc>
      </w:tr>
      <w:tr>
        <w:tc>
          <w:tcPr>
            <w:tcW w:type="dxa" w:w="2952"/>
            <w:vAlign w:val="center"/>
            <w:tcMar>
              <w:top w:w="90" w:type="dxa"/>
              <w:start w:w="110" w:type="dxa"/>
              <w:bottom w:w="90" w:type="dxa"/>
              <w:end w:w="110" w:type="dxa"/>
            </w:tcMar>
          </w:tcPr>
          <w:p>
            <w:r>
              <w:rPr>
                <w:sz w:val="17"/>
              </w:rPr>
              <w:t>High value</w:t>
            </w:r>
          </w:p>
        </w:tc>
        <w:tc>
          <w:tcPr>
            <w:tcW w:type="dxa" w:w="7128"/>
            <w:vAlign w:val="center"/>
            <w:tcMar>
              <w:top w:w="90" w:type="dxa"/>
              <w:start w:w="110" w:type="dxa"/>
              <w:bottom w:w="90" w:type="dxa"/>
              <w:end w:w="110" w:type="dxa"/>
            </w:tcMar>
          </w:tcPr>
          <w:p>
            <w:r>
              <w:rPr>
                <w:sz w:val="17"/>
              </w:rPr>
              <w:t>ESCALATE to configured Controller</w:t>
            </w:r>
          </w:p>
        </w:tc>
      </w:tr>
      <w:tr>
        <w:tc>
          <w:tcPr>
            <w:tcW w:type="dxa" w:w="2952"/>
            <w:vAlign w:val="center"/>
            <w:tcMar>
              <w:top w:w="90" w:type="dxa"/>
              <w:start w:w="110" w:type="dxa"/>
              <w:bottom w:w="90" w:type="dxa"/>
              <w:end w:w="110" w:type="dxa"/>
            </w:tcMar>
          </w:tcPr>
          <w:p>
            <w:r>
              <w:rPr>
                <w:sz w:val="17"/>
              </w:rPr>
              <w:t>Prompt injection in remittance</w:t>
            </w:r>
          </w:p>
        </w:tc>
        <w:tc>
          <w:tcPr>
            <w:tcW w:type="dxa" w:w="7128"/>
            <w:vAlign w:val="center"/>
            <w:tcMar>
              <w:top w:w="90" w:type="dxa"/>
              <w:start w:w="110" w:type="dxa"/>
              <w:bottom w:w="90" w:type="dxa"/>
              <w:end w:w="110" w:type="dxa"/>
            </w:tcMar>
          </w:tcPr>
          <w:p>
            <w:r>
              <w:rPr>
                <w:sz w:val="17"/>
              </w:rPr>
              <w:t>Does not alter agent authority or permitted tools</w:t>
            </w:r>
          </w:p>
        </w:tc>
      </w:tr>
      <w:tr>
        <w:tc>
          <w:tcPr>
            <w:tcW w:type="dxa" w:w="2952"/>
            <w:vAlign w:val="center"/>
            <w:tcMar>
              <w:top w:w="90" w:type="dxa"/>
              <w:start w:w="110" w:type="dxa"/>
              <w:bottom w:w="90" w:type="dxa"/>
              <w:end w:w="110" w:type="dxa"/>
            </w:tcMar>
          </w:tcPr>
          <w:p>
            <w:r>
              <w:rPr>
                <w:sz w:val="17"/>
              </w:rPr>
              <w:t>Unauthorized tool call</w:t>
            </w:r>
          </w:p>
        </w:tc>
        <w:tc>
          <w:tcPr>
            <w:tcW w:type="dxa" w:w="7128"/>
            <w:vAlign w:val="center"/>
            <w:tcMar>
              <w:top w:w="90" w:type="dxa"/>
              <w:start w:w="110" w:type="dxa"/>
              <w:bottom w:w="90" w:type="dxa"/>
              <w:end w:w="110" w:type="dxa"/>
            </w:tcMar>
          </w:tcPr>
          <w:p>
            <w:r>
              <w:rPr>
                <w:sz w:val="17"/>
              </w:rPr>
              <w:t>DENIED, logged/evidenced and visible in AgentOps</w:t>
            </w:r>
          </w:p>
        </w:tc>
      </w:tr>
      <w:tr>
        <w:tc>
          <w:tcPr>
            <w:tcW w:type="dxa" w:w="2952"/>
            <w:vAlign w:val="center"/>
            <w:tcMar>
              <w:top w:w="90" w:type="dxa"/>
              <w:start w:w="110" w:type="dxa"/>
              <w:bottom w:w="90" w:type="dxa"/>
              <w:end w:w="110" w:type="dxa"/>
            </w:tcMar>
          </w:tcPr>
          <w:p>
            <w:r>
              <w:rPr>
                <w:sz w:val="17"/>
              </w:rPr>
              <w:t>Expired Action Token</w:t>
            </w:r>
          </w:p>
        </w:tc>
        <w:tc>
          <w:tcPr>
            <w:tcW w:type="dxa" w:w="7128"/>
            <w:vAlign w:val="center"/>
            <w:tcMar>
              <w:top w:w="90" w:type="dxa"/>
              <w:start w:w="110" w:type="dxa"/>
              <w:bottom w:w="90" w:type="dxa"/>
              <w:end w:w="110" w:type="dxa"/>
            </w:tcMar>
          </w:tcPr>
          <w:p>
            <w:r>
              <w:rPr>
                <w:sz w:val="17"/>
              </w:rPr>
              <w:t>Execution blocked</w:t>
            </w:r>
          </w:p>
        </w:tc>
      </w:tr>
      <w:tr>
        <w:tc>
          <w:tcPr>
            <w:tcW w:type="dxa" w:w="2952"/>
            <w:vAlign w:val="center"/>
            <w:tcMar>
              <w:top w:w="90" w:type="dxa"/>
              <w:start w:w="110" w:type="dxa"/>
              <w:bottom w:w="90" w:type="dxa"/>
              <w:end w:w="110" w:type="dxa"/>
            </w:tcMar>
          </w:tcPr>
          <w:p>
            <w:r>
              <w:rPr>
                <w:sz w:val="17"/>
              </w:rPr>
              <w:t>Evidence precommit unavailable</w:t>
            </w:r>
          </w:p>
        </w:tc>
        <w:tc>
          <w:tcPr>
            <w:tcW w:type="dxa" w:w="7128"/>
            <w:vAlign w:val="center"/>
            <w:tcMar>
              <w:top w:w="90" w:type="dxa"/>
              <w:start w:w="110" w:type="dxa"/>
              <w:bottom w:w="90" w:type="dxa"/>
              <w:end w:w="110" w:type="dxa"/>
            </w:tcMar>
          </w:tcPr>
          <w:p>
            <w:r>
              <w:rPr>
                <w:sz w:val="17"/>
              </w:rPr>
              <w:t>Execution blocked; no side effect</w:t>
            </w:r>
          </w:p>
        </w:tc>
      </w:tr>
      <w:tr>
        <w:tc>
          <w:tcPr>
            <w:tcW w:type="dxa" w:w="2952"/>
            <w:vAlign w:val="center"/>
            <w:tcMar>
              <w:top w:w="90" w:type="dxa"/>
              <w:start w:w="110" w:type="dxa"/>
              <w:bottom w:w="90" w:type="dxa"/>
              <w:end w:w="110" w:type="dxa"/>
            </w:tcMar>
          </w:tcPr>
          <w:p>
            <w:r>
              <w:rPr>
                <w:sz w:val="17"/>
              </w:rPr>
              <w:t>Evidence tamper</w:t>
            </w:r>
          </w:p>
        </w:tc>
        <w:tc>
          <w:tcPr>
            <w:tcW w:type="dxa" w:w="7128"/>
            <w:vAlign w:val="center"/>
            <w:tcMar>
              <w:top w:w="90" w:type="dxa"/>
              <w:start w:w="110" w:type="dxa"/>
              <w:bottom w:w="90" w:type="dxa"/>
              <w:end w:w="110" w:type="dxa"/>
            </w:tcMar>
          </w:tcPr>
          <w:p>
            <w:r>
              <w:rPr>
                <w:sz w:val="17"/>
              </w:rPr>
              <w:t>Verification fails</w:t>
            </w:r>
          </w:p>
        </w:tc>
      </w:tr>
      <w:tr>
        <w:tc>
          <w:tcPr>
            <w:tcW w:type="dxa" w:w="2952"/>
            <w:vAlign w:val="center"/>
            <w:tcMar>
              <w:top w:w="90" w:type="dxa"/>
              <w:start w:w="110" w:type="dxa"/>
              <w:bottom w:w="90" w:type="dxa"/>
              <w:end w:w="110" w:type="dxa"/>
            </w:tcMar>
          </w:tcPr>
          <w:p>
            <w:r>
              <w:rPr>
                <w:sz w:val="17"/>
              </w:rPr>
              <w:t>Tenant crossover attempt</w:t>
            </w:r>
          </w:p>
        </w:tc>
        <w:tc>
          <w:tcPr>
            <w:tcW w:type="dxa" w:w="7128"/>
            <w:vAlign w:val="center"/>
            <w:tcMar>
              <w:top w:w="90" w:type="dxa"/>
              <w:start w:w="110" w:type="dxa"/>
              <w:bottom w:w="90" w:type="dxa"/>
              <w:end w:w="110" w:type="dxa"/>
            </w:tcMar>
          </w:tcPr>
          <w:p>
            <w:r>
              <w:rPr>
                <w:sz w:val="17"/>
              </w:rPr>
              <w:t>Denied in automated test</w:t>
            </w:r>
          </w:p>
        </w:tc>
      </w:tr>
      <w:tr>
        <w:tc>
          <w:tcPr>
            <w:tcW w:type="dxa" w:w="2952"/>
            <w:vAlign w:val="center"/>
            <w:tcMar>
              <w:top w:w="90" w:type="dxa"/>
              <w:start w:w="110" w:type="dxa"/>
              <w:bottom w:w="90" w:type="dxa"/>
              <w:end w:w="110" w:type="dxa"/>
            </w:tcMar>
          </w:tcPr>
          <w:p>
            <w:r>
              <w:rPr>
                <w:sz w:val="17"/>
              </w:rPr>
              <w:t>Model provider swap</w:t>
            </w:r>
          </w:p>
        </w:tc>
        <w:tc>
          <w:tcPr>
            <w:tcW w:type="dxa" w:w="7128"/>
            <w:vAlign w:val="center"/>
            <w:tcMar>
              <w:top w:w="90" w:type="dxa"/>
              <w:start w:w="110" w:type="dxa"/>
              <w:bottom w:w="90" w:type="dxa"/>
              <w:end w:w="110" w:type="dxa"/>
            </w:tcMar>
          </w:tcPr>
          <w:p>
            <w:r>
              <w:rPr>
                <w:sz w:val="17"/>
              </w:rPr>
              <w:t>Policy/authority/evidence semantics unchanged</w:t>
            </w:r>
          </w:p>
        </w:tc>
      </w:tr>
      <w:tr>
        <w:tc>
          <w:tcPr>
            <w:tcW w:type="dxa" w:w="2952"/>
            <w:vAlign w:val="center"/>
            <w:tcMar>
              <w:top w:w="90" w:type="dxa"/>
              <w:start w:w="110" w:type="dxa"/>
              <w:bottom w:w="90" w:type="dxa"/>
              <w:end w:w="110" w:type="dxa"/>
            </w:tcMar>
          </w:tcPr>
          <w:p>
            <w:r>
              <w:rPr>
                <w:sz w:val="17"/>
              </w:rPr>
              <w:t>Shadow mode write attempt</w:t>
            </w:r>
          </w:p>
        </w:tc>
        <w:tc>
          <w:tcPr>
            <w:tcW w:type="dxa" w:w="7128"/>
            <w:vAlign w:val="center"/>
            <w:tcMar>
              <w:top w:w="90" w:type="dxa"/>
              <w:start w:w="110" w:type="dxa"/>
              <w:bottom w:w="90" w:type="dxa"/>
              <w:end w:w="110" w:type="dxa"/>
            </w:tcMar>
          </w:tcPr>
          <w:p>
            <w:r>
              <w:rPr>
                <w:sz w:val="17"/>
              </w:rPr>
              <w:t>Blocked; zero production side effects</w:t>
            </w:r>
          </w:p>
        </w:tc>
      </w:tr>
      <w:tr>
        <w:tc>
          <w:tcPr>
            <w:tcW w:type="dxa" w:w="2952"/>
            <w:vAlign w:val="center"/>
            <w:tcMar>
              <w:top w:w="90" w:type="dxa"/>
              <w:start w:w="110" w:type="dxa"/>
              <w:bottom w:w="90" w:type="dxa"/>
              <w:end w:w="110" w:type="dxa"/>
            </w:tcMar>
          </w:tcPr>
          <w:p>
            <w:r>
              <w:rPr>
                <w:sz w:val="17"/>
              </w:rPr>
              <w:t>Connector partial failure</w:t>
            </w:r>
          </w:p>
        </w:tc>
        <w:tc>
          <w:tcPr>
            <w:tcW w:type="dxa" w:w="7128"/>
            <w:vAlign w:val="center"/>
            <w:tcMar>
              <w:top w:w="90" w:type="dxa"/>
              <w:start w:w="110" w:type="dxa"/>
              <w:bottom w:w="90" w:type="dxa"/>
              <w:end w:w="110" w:type="dxa"/>
            </w:tcMar>
          </w:tcPr>
          <w:p>
            <w:r>
              <w:rPr>
                <w:sz w:val="17"/>
              </w:rPr>
              <w:t>Run preserved; bounded retry/escalation with context</w:t>
            </w:r>
          </w:p>
        </w:tc>
      </w:tr>
    </w:tbl>
    <w:p/>
    <w:p>
      <w:pPr>
        <w:pStyle w:val="Heading1"/>
      </w:pPr>
      <w:r>
        <w:t>19. Engineering Workstreams and Build Plan</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02A56"/>
            <w:vAlign w:val="center"/>
            <w:tcMar>
              <w:top w:w="90" w:type="dxa"/>
              <w:start w:w="110" w:type="dxa"/>
              <w:bottom w:w="90" w:type="dxa"/>
              <w:end w:w="110" w:type="dxa"/>
            </w:tcMar>
          </w:tcPr>
          <w:p>
            <w:r>
              <w:rPr>
                <w:b/>
                <w:color w:val="FFFFFF"/>
                <w:sz w:val="16"/>
              </w:rPr>
              <w:t>Workstream</w:t>
            </w:r>
          </w:p>
        </w:tc>
        <w:tc>
          <w:tcPr>
            <w:tcW w:type="dxa" w:w="4896"/>
            <w:shd w:fill="102A56"/>
            <w:vAlign w:val="center"/>
            <w:tcMar>
              <w:top w:w="90" w:type="dxa"/>
              <w:start w:w="110" w:type="dxa"/>
              <w:bottom w:w="90" w:type="dxa"/>
              <w:end w:w="110" w:type="dxa"/>
            </w:tcMar>
          </w:tcPr>
          <w:p>
            <w:r>
              <w:rPr>
                <w:b/>
                <w:color w:val="FFFFFF"/>
                <w:sz w:val="16"/>
              </w:rPr>
              <w:t>Scope</w:t>
            </w:r>
          </w:p>
        </w:tc>
        <w:tc>
          <w:tcPr>
            <w:tcW w:type="dxa" w:w="3456"/>
            <w:shd w:fill="102A56"/>
            <w:vAlign w:val="center"/>
            <w:tcMar>
              <w:top w:w="90" w:type="dxa"/>
              <w:start w:w="110" w:type="dxa"/>
              <w:bottom w:w="90" w:type="dxa"/>
              <w:end w:w="110" w:type="dxa"/>
            </w:tcMar>
          </w:tcPr>
          <w:p>
            <w:r>
              <w:rPr>
                <w:b/>
                <w:color w:val="FFFFFF"/>
                <w:sz w:val="16"/>
              </w:rPr>
              <w:t>Exit gate</w:t>
            </w:r>
          </w:p>
        </w:tc>
      </w:tr>
      <w:tr>
        <w:tc>
          <w:tcPr>
            <w:tcW w:type="dxa" w:w="1728"/>
            <w:vAlign w:val="center"/>
            <w:tcMar>
              <w:top w:w="90" w:type="dxa"/>
              <w:start w:w="110" w:type="dxa"/>
              <w:bottom w:w="90" w:type="dxa"/>
              <w:end w:w="110" w:type="dxa"/>
            </w:tcMar>
          </w:tcPr>
          <w:p>
            <w:r>
              <w:rPr>
                <w:sz w:val="16"/>
              </w:rPr>
              <w:t>A. Foundation</w:t>
            </w:r>
          </w:p>
        </w:tc>
        <w:tc>
          <w:tcPr>
            <w:tcW w:type="dxa" w:w="4896"/>
            <w:vAlign w:val="center"/>
            <w:tcMar>
              <w:top w:w="90" w:type="dxa"/>
              <w:start w:w="110" w:type="dxa"/>
              <w:bottom w:w="90" w:type="dxa"/>
              <w:end w:w="110" w:type="dxa"/>
            </w:tcMar>
          </w:tcPr>
          <w:p>
            <w:r>
              <w:rPr>
                <w:sz w:val="16"/>
              </w:rPr>
              <w:t>Monorepo, contracts, tenant context, local Docker, CI</w:t>
            </w:r>
          </w:p>
        </w:tc>
        <w:tc>
          <w:tcPr>
            <w:tcW w:type="dxa" w:w="3456"/>
            <w:vAlign w:val="center"/>
            <w:tcMar>
              <w:top w:w="90" w:type="dxa"/>
              <w:start w:w="110" w:type="dxa"/>
              <w:bottom w:w="90" w:type="dxa"/>
              <w:end w:w="110" w:type="dxa"/>
            </w:tcMar>
          </w:tcPr>
          <w:p>
            <w:r>
              <w:rPr>
                <w:sz w:val="16"/>
              </w:rPr>
              <w:t>UI/API boot locally; tests pass</w:t>
            </w:r>
          </w:p>
        </w:tc>
      </w:tr>
      <w:tr>
        <w:tc>
          <w:tcPr>
            <w:tcW w:type="dxa" w:w="1728"/>
            <w:vAlign w:val="center"/>
            <w:tcMar>
              <w:top w:w="90" w:type="dxa"/>
              <w:start w:w="110" w:type="dxa"/>
              <w:bottom w:w="90" w:type="dxa"/>
              <w:end w:w="110" w:type="dxa"/>
            </w:tcMar>
          </w:tcPr>
          <w:p>
            <w:r>
              <w:rPr>
                <w:sz w:val="16"/>
              </w:rPr>
              <w:t>B. Diagnosis &amp; Readiness</w:t>
            </w:r>
          </w:p>
        </w:tc>
        <w:tc>
          <w:tcPr>
            <w:tcW w:type="dxa" w:w="4896"/>
            <w:vAlign w:val="center"/>
            <w:tcMar>
              <w:top w:w="90" w:type="dxa"/>
              <w:start w:w="110" w:type="dxa"/>
              <w:bottom w:w="90" w:type="dxa"/>
              <w:end w:w="110" w:type="dxa"/>
            </w:tcMar>
          </w:tcPr>
          <w:p>
            <w:r>
              <w:rPr>
                <w:sz w:val="16"/>
              </w:rPr>
              <w:t>Inventory forms, classification service, control catalogue, report generator</w:t>
            </w:r>
          </w:p>
        </w:tc>
        <w:tc>
          <w:tcPr>
            <w:tcW w:type="dxa" w:w="3456"/>
            <w:vAlign w:val="center"/>
            <w:tcMar>
              <w:top w:w="90" w:type="dxa"/>
              <w:start w:w="110" w:type="dxa"/>
              <w:bottom w:w="90" w:type="dxa"/>
              <w:end w:w="110" w:type="dxa"/>
            </w:tcMar>
          </w:tcPr>
          <w:p>
            <w:r>
              <w:rPr>
                <w:sz w:val="16"/>
              </w:rPr>
              <w:t>Diagnosis produces traceable report and gap matrix</w:t>
            </w:r>
          </w:p>
        </w:tc>
      </w:tr>
      <w:tr>
        <w:tc>
          <w:tcPr>
            <w:tcW w:type="dxa" w:w="1728"/>
            <w:vAlign w:val="center"/>
            <w:tcMar>
              <w:top w:w="90" w:type="dxa"/>
              <w:start w:w="110" w:type="dxa"/>
              <w:bottom w:w="90" w:type="dxa"/>
              <w:end w:w="110" w:type="dxa"/>
            </w:tcMar>
          </w:tcPr>
          <w:p>
            <w:r>
              <w:rPr>
                <w:sz w:val="16"/>
              </w:rPr>
              <w:t>C. Runtime Core</w:t>
            </w:r>
          </w:p>
        </w:tc>
        <w:tc>
          <w:tcPr>
            <w:tcW w:type="dxa" w:w="4896"/>
            <w:vAlign w:val="center"/>
            <w:tcMar>
              <w:top w:w="90" w:type="dxa"/>
              <w:start w:w="110" w:type="dxa"/>
              <w:bottom w:w="90" w:type="dxa"/>
              <w:end w:w="110" w:type="dxa"/>
            </w:tcMar>
          </w:tcPr>
          <w:p>
            <w:r>
              <w:rPr>
                <w:sz w:val="16"/>
              </w:rPr>
              <w:t>Orchestrator, event backbone, agent registry, Model Gateway</w:t>
            </w:r>
          </w:p>
        </w:tc>
        <w:tc>
          <w:tcPr>
            <w:tcW w:type="dxa" w:w="3456"/>
            <w:vAlign w:val="center"/>
            <w:tcMar>
              <w:top w:w="90" w:type="dxa"/>
              <w:start w:w="110" w:type="dxa"/>
              <w:bottom w:w="90" w:type="dxa"/>
              <w:end w:w="110" w:type="dxa"/>
            </w:tcMar>
          </w:tcPr>
          <w:p>
            <w:r>
              <w:rPr>
                <w:sz w:val="16"/>
              </w:rPr>
              <w:t>Golden workflow reaches policy gate</w:t>
            </w:r>
          </w:p>
        </w:tc>
      </w:tr>
      <w:tr>
        <w:tc>
          <w:tcPr>
            <w:tcW w:type="dxa" w:w="1728"/>
            <w:vAlign w:val="center"/>
            <w:tcMar>
              <w:top w:w="90" w:type="dxa"/>
              <w:start w:w="110" w:type="dxa"/>
              <w:bottom w:w="90" w:type="dxa"/>
              <w:end w:w="110" w:type="dxa"/>
            </w:tcMar>
          </w:tcPr>
          <w:p>
            <w:r>
              <w:rPr>
                <w:sz w:val="16"/>
              </w:rPr>
              <w:t>D. Governance</w:t>
            </w:r>
          </w:p>
        </w:tc>
        <w:tc>
          <w:tcPr>
            <w:tcW w:type="dxa" w:w="4896"/>
            <w:vAlign w:val="center"/>
            <w:tcMar>
              <w:top w:w="90" w:type="dxa"/>
              <w:start w:w="110" w:type="dxa"/>
              <w:bottom w:w="90" w:type="dxa"/>
              <w:end w:w="110" w:type="dxa"/>
            </w:tcMar>
          </w:tcPr>
          <w:p>
            <w:r>
              <w:rPr>
                <w:sz w:val="16"/>
              </w:rPr>
              <w:t>Policy, authority, approvals, Action Token</w:t>
            </w:r>
          </w:p>
        </w:tc>
        <w:tc>
          <w:tcPr>
            <w:tcW w:type="dxa" w:w="3456"/>
            <w:vAlign w:val="center"/>
            <w:tcMar>
              <w:top w:w="90" w:type="dxa"/>
              <w:start w:w="110" w:type="dxa"/>
              <w:bottom w:w="90" w:type="dxa"/>
              <w:end w:w="110" w:type="dxa"/>
            </w:tcMar>
          </w:tcPr>
          <w:p>
            <w:r>
              <w:rPr>
                <w:sz w:val="16"/>
              </w:rPr>
              <w:t>Cannot bypass authority/HITL</w:t>
            </w:r>
          </w:p>
        </w:tc>
      </w:tr>
      <w:tr>
        <w:tc>
          <w:tcPr>
            <w:tcW w:type="dxa" w:w="1728"/>
            <w:vAlign w:val="center"/>
            <w:tcMar>
              <w:top w:w="90" w:type="dxa"/>
              <w:start w:w="110" w:type="dxa"/>
              <w:bottom w:w="90" w:type="dxa"/>
              <w:end w:w="110" w:type="dxa"/>
            </w:tcMar>
          </w:tcPr>
          <w:p>
            <w:r>
              <w:rPr>
                <w:sz w:val="16"/>
              </w:rPr>
              <w:t>E. Evidence</w:t>
            </w:r>
          </w:p>
        </w:tc>
        <w:tc>
          <w:tcPr>
            <w:tcW w:type="dxa" w:w="4896"/>
            <w:vAlign w:val="center"/>
            <w:tcMar>
              <w:top w:w="90" w:type="dxa"/>
              <w:start w:w="110" w:type="dxa"/>
              <w:bottom w:w="90" w:type="dxa"/>
              <w:end w:w="110" w:type="dxa"/>
            </w:tcMar>
          </w:tcPr>
          <w:p>
            <w:r>
              <w:rPr>
                <w:sz w:val="16"/>
              </w:rPr>
              <w:t>Canonical serialization, signing, chain, verification, precommit/commit</w:t>
            </w:r>
          </w:p>
        </w:tc>
        <w:tc>
          <w:tcPr>
            <w:tcW w:type="dxa" w:w="3456"/>
            <w:vAlign w:val="center"/>
            <w:tcMar>
              <w:top w:w="90" w:type="dxa"/>
              <w:start w:w="110" w:type="dxa"/>
              <w:bottom w:w="90" w:type="dxa"/>
              <w:end w:w="110" w:type="dxa"/>
            </w:tcMar>
          </w:tcPr>
          <w:p>
            <w:r>
              <w:rPr>
                <w:sz w:val="16"/>
              </w:rPr>
              <w:t>Tamper detectable; evidence failure blocks execution</w:t>
            </w:r>
          </w:p>
        </w:tc>
      </w:tr>
      <w:tr>
        <w:tc>
          <w:tcPr>
            <w:tcW w:type="dxa" w:w="1728"/>
            <w:vAlign w:val="center"/>
            <w:tcMar>
              <w:top w:w="90" w:type="dxa"/>
              <w:start w:w="110" w:type="dxa"/>
              <w:bottom w:w="90" w:type="dxa"/>
              <w:end w:w="110" w:type="dxa"/>
            </w:tcMar>
          </w:tcPr>
          <w:p>
            <w:r>
              <w:rPr>
                <w:sz w:val="16"/>
              </w:rPr>
              <w:t>F. LedgerSight Pack</w:t>
            </w:r>
          </w:p>
        </w:tc>
        <w:tc>
          <w:tcPr>
            <w:tcW w:type="dxa" w:w="4896"/>
            <w:vAlign w:val="center"/>
            <w:tcMar>
              <w:top w:w="90" w:type="dxa"/>
              <w:start w:w="110" w:type="dxa"/>
              <w:bottom w:w="90" w:type="dxa"/>
              <w:end w:w="110" w:type="dxa"/>
            </w:tcMar>
          </w:tcPr>
          <w:p>
            <w:r>
              <w:rPr>
                <w:sz w:val="16"/>
              </w:rPr>
              <w:t>AR/Cash agents, deterministic matcher, exceptions, Mock SAP</w:t>
            </w:r>
          </w:p>
        </w:tc>
        <w:tc>
          <w:tcPr>
            <w:tcW w:type="dxa" w:w="3456"/>
            <w:vAlign w:val="center"/>
            <w:tcMar>
              <w:top w:w="90" w:type="dxa"/>
              <w:start w:w="110" w:type="dxa"/>
              <w:bottom w:w="90" w:type="dxa"/>
              <w:end w:w="110" w:type="dxa"/>
            </w:tcMar>
          </w:tcPr>
          <w:p>
            <w:r>
              <w:rPr>
                <w:sz w:val="16"/>
              </w:rPr>
              <w:t>End-to-end financial demo complete</w:t>
            </w:r>
          </w:p>
        </w:tc>
      </w:tr>
      <w:tr>
        <w:tc>
          <w:tcPr>
            <w:tcW w:type="dxa" w:w="1728"/>
            <w:vAlign w:val="center"/>
            <w:tcMar>
              <w:top w:w="90" w:type="dxa"/>
              <w:start w:w="110" w:type="dxa"/>
              <w:bottom w:w="90" w:type="dxa"/>
              <w:end w:w="110" w:type="dxa"/>
            </w:tcMar>
          </w:tcPr>
          <w:p>
            <w:r>
              <w:rPr>
                <w:sz w:val="16"/>
              </w:rPr>
              <w:t>G. UI</w:t>
            </w:r>
          </w:p>
        </w:tc>
        <w:tc>
          <w:tcPr>
            <w:tcW w:type="dxa" w:w="4896"/>
            <w:vAlign w:val="center"/>
            <w:tcMar>
              <w:top w:w="90" w:type="dxa"/>
              <w:start w:w="110" w:type="dxa"/>
              <w:bottom w:w="90" w:type="dxa"/>
              <w:end w:w="110" w:type="dxa"/>
            </w:tcMar>
          </w:tcPr>
          <w:p>
            <w:r>
              <w:rPr>
                <w:sz w:val="16"/>
              </w:rPr>
              <w:t>Business + Admin + Readiness + Evidence</w:t>
            </w:r>
          </w:p>
        </w:tc>
        <w:tc>
          <w:tcPr>
            <w:tcW w:type="dxa" w:w="3456"/>
            <w:vAlign w:val="center"/>
            <w:tcMar>
              <w:top w:w="90" w:type="dxa"/>
              <w:start w:w="110" w:type="dxa"/>
              <w:bottom w:w="90" w:type="dxa"/>
              <w:end w:w="110" w:type="dxa"/>
            </w:tcMar>
          </w:tcPr>
          <w:p>
            <w:r>
              <w:rPr>
                <w:sz w:val="16"/>
              </w:rPr>
              <w:t>Client walkthrough usable without engineering console</w:t>
            </w:r>
          </w:p>
        </w:tc>
      </w:tr>
      <w:tr>
        <w:tc>
          <w:tcPr>
            <w:tcW w:type="dxa" w:w="1728"/>
            <w:vAlign w:val="center"/>
            <w:tcMar>
              <w:top w:w="90" w:type="dxa"/>
              <w:start w:w="110" w:type="dxa"/>
              <w:bottom w:w="90" w:type="dxa"/>
              <w:end w:w="110" w:type="dxa"/>
            </w:tcMar>
          </w:tcPr>
          <w:p>
            <w:r>
              <w:rPr>
                <w:sz w:val="16"/>
              </w:rPr>
              <w:t>H. AWS DEV</w:t>
            </w:r>
          </w:p>
        </w:tc>
        <w:tc>
          <w:tcPr>
            <w:tcW w:type="dxa" w:w="4896"/>
            <w:vAlign w:val="center"/>
            <w:tcMar>
              <w:top w:w="90" w:type="dxa"/>
              <w:start w:w="110" w:type="dxa"/>
              <w:bottom w:w="90" w:type="dxa"/>
              <w:end w:w="110" w:type="dxa"/>
            </w:tcMar>
          </w:tcPr>
          <w:p>
            <w:r>
              <w:rPr>
                <w:sz w:val="16"/>
              </w:rPr>
              <w:t>Terraform, ECS, Step Functions, EventBridge/SQS, Aurora, DynamoDB, S3/KMS, Cognito</w:t>
            </w:r>
          </w:p>
        </w:tc>
        <w:tc>
          <w:tcPr>
            <w:tcW w:type="dxa" w:w="3456"/>
            <w:vAlign w:val="center"/>
            <w:tcMar>
              <w:top w:w="90" w:type="dxa"/>
              <w:start w:w="110" w:type="dxa"/>
              <w:bottom w:w="90" w:type="dxa"/>
              <w:end w:w="110" w:type="dxa"/>
            </w:tcMar>
          </w:tcPr>
          <w:p>
            <w:r>
              <w:rPr>
                <w:sz w:val="16"/>
              </w:rPr>
              <w:t>Golden path runs in AWS dev</w:t>
            </w:r>
          </w:p>
        </w:tc>
      </w:tr>
      <w:tr>
        <w:tc>
          <w:tcPr>
            <w:tcW w:type="dxa" w:w="1728"/>
            <w:vAlign w:val="center"/>
            <w:tcMar>
              <w:top w:w="90" w:type="dxa"/>
              <w:start w:w="110" w:type="dxa"/>
              <w:bottom w:w="90" w:type="dxa"/>
              <w:end w:w="110" w:type="dxa"/>
            </w:tcMar>
          </w:tcPr>
          <w:p>
            <w:r>
              <w:rPr>
                <w:sz w:val="16"/>
              </w:rPr>
              <w:t>I. Hardening</w:t>
            </w:r>
          </w:p>
        </w:tc>
        <w:tc>
          <w:tcPr>
            <w:tcW w:type="dxa" w:w="4896"/>
            <w:vAlign w:val="center"/>
            <w:tcMar>
              <w:top w:w="90" w:type="dxa"/>
              <w:start w:w="110" w:type="dxa"/>
              <w:bottom w:w="90" w:type="dxa"/>
              <w:end w:w="110" w:type="dxa"/>
            </w:tcMar>
          </w:tcPr>
          <w:p>
            <w:r>
              <w:rPr>
                <w:sz w:val="16"/>
              </w:rPr>
              <w:t>Security, isolation, adversarial, load, failure tests</w:t>
            </w:r>
          </w:p>
        </w:tc>
        <w:tc>
          <w:tcPr>
            <w:tcW w:type="dxa" w:w="3456"/>
            <w:vAlign w:val="center"/>
            <w:tcMar>
              <w:top w:w="90" w:type="dxa"/>
              <w:start w:w="110" w:type="dxa"/>
              <w:bottom w:w="90" w:type="dxa"/>
              <w:end w:w="110" w:type="dxa"/>
            </w:tcMar>
          </w:tcPr>
          <w:p>
            <w:r>
              <w:rPr>
                <w:sz w:val="16"/>
              </w:rPr>
              <w:t>All acceptance tests green</w:t>
            </w:r>
          </w:p>
        </w:tc>
      </w:tr>
      <w:tr>
        <w:tc>
          <w:tcPr>
            <w:tcW w:type="dxa" w:w="1728"/>
            <w:vAlign w:val="center"/>
            <w:tcMar>
              <w:top w:w="90" w:type="dxa"/>
              <w:start w:w="110" w:type="dxa"/>
              <w:bottom w:w="90" w:type="dxa"/>
              <w:end w:w="110" w:type="dxa"/>
            </w:tcMar>
          </w:tcPr>
          <w:p>
            <w:r>
              <w:rPr>
                <w:sz w:val="16"/>
              </w:rPr>
              <w:t>J. Demo pack</w:t>
            </w:r>
          </w:p>
        </w:tc>
        <w:tc>
          <w:tcPr>
            <w:tcW w:type="dxa" w:w="4896"/>
            <w:vAlign w:val="center"/>
            <w:tcMar>
              <w:top w:w="90" w:type="dxa"/>
              <w:start w:w="110" w:type="dxa"/>
              <w:bottom w:w="90" w:type="dxa"/>
              <w:end w:w="110" w:type="dxa"/>
            </w:tcMar>
          </w:tcPr>
          <w:p>
            <w:r>
              <w:rPr>
                <w:sz w:val="16"/>
              </w:rPr>
              <w:t>Seeded scenarios, scripts, reports, evidence bundles</w:t>
            </w:r>
          </w:p>
        </w:tc>
        <w:tc>
          <w:tcPr>
            <w:tcW w:type="dxa" w:w="3456"/>
            <w:vAlign w:val="center"/>
            <w:tcMar>
              <w:top w:w="90" w:type="dxa"/>
              <w:start w:w="110" w:type="dxa"/>
              <w:bottom w:w="90" w:type="dxa"/>
              <w:end w:w="110" w:type="dxa"/>
            </w:tcMar>
          </w:tcPr>
          <w:p>
            <w:r>
              <w:rPr>
                <w:sz w:val="16"/>
              </w:rPr>
              <w:t>Repeatable 10-15 minute client demo</w:t>
            </w:r>
          </w:p>
        </w:tc>
      </w:tr>
    </w:tbl>
    <w:p/>
    <w:p>
      <w:pPr>
        <w:pStyle w:val="Heading2"/>
      </w:pPr>
      <w:r>
        <w:t>19.1 Suggested sprint sequence</w:t>
      </w:r>
    </w:p>
    <w:p>
      <w:pPr>
        <w:pStyle w:val="ListBullet"/>
      </w:pPr>
      <w:r>
        <w:t>Sprint 1: repo foundation, contracts, tenant context, UI shell and synthetic datasets.</w:t>
      </w:r>
    </w:p>
    <w:p>
      <w:pPr>
        <w:pStyle w:val="ListBullet"/>
      </w:pPr>
      <w:r>
        <w:t>Sprint 2: Diagnosis + Risk/Role Classification + Readiness Gap Matrix + report generator.</w:t>
      </w:r>
    </w:p>
    <w:p>
      <w:pPr>
        <w:pStyle w:val="ListBullet"/>
      </w:pPr>
      <w:r>
        <w:t>Sprint 3: Orchestrator + event backbone + deterministic match engine + agent manifests.</w:t>
      </w:r>
    </w:p>
    <w:p>
      <w:pPr>
        <w:pStyle w:val="ListBullet"/>
      </w:pPr>
      <w:r>
        <w:t>Sprint 4: Model Gateway + agents + Policy/Authority + Approval UI.</w:t>
      </w:r>
    </w:p>
    <w:p>
      <w:pPr>
        <w:pStyle w:val="ListBullet"/>
      </w:pPr>
      <w:r>
        <w:t>Sprint 5: Evidence Fabric precommit/commit/verify + Execution Gateway + Mock SAP.</w:t>
      </w:r>
    </w:p>
    <w:p>
      <w:pPr>
        <w:pStyle w:val="ListBullet"/>
      </w:pPr>
      <w:r>
        <w:t>Sprint 6: AgentOps + Shadow ROI + EU readiness evidence linking + polished client demo.</w:t>
      </w:r>
    </w:p>
    <w:p>
      <w:pPr>
        <w:pStyle w:val="ListBullet"/>
      </w:pPr>
      <w:r>
        <w:t>Sprint 7: AWS dev deployment, failure testing, security hardening and scripted demo rehearsal.</w:t>
      </w:r>
    </w:p>
    <w:p>
      <w:pPr>
        <w:pStyle w:val="Heading1"/>
      </w:pPr>
      <w:r>
        <w:t>20. Definition of POC Done</w:t>
      </w:r>
    </w:p>
    <w:p>
      <w:pPr>
        <w:pStyle w:val="ListBullet"/>
      </w:pPr>
      <w:r>
        <w:t>A fresh demo tenant can be provisioned without changing TrustOps Core code.</w:t>
      </w:r>
    </w:p>
    <w:p>
      <w:pPr>
        <w:pStyle w:val="ListBullet"/>
      </w:pPr>
      <w:r>
        <w:t>A client can complete a diagnosis and receive a generated report with evidence-linked findings.</w:t>
      </w:r>
    </w:p>
    <w:p>
      <w:pPr>
        <w:pStyle w:val="ListBullet"/>
      </w:pPr>
      <w:r>
        <w:t>A Workflow Pack can be activated from diagnosis/POC scope.</w:t>
      </w:r>
    </w:p>
    <w:p>
      <w:pPr>
        <w:pStyle w:val="ListBullet"/>
      </w:pPr>
      <w:r>
        <w:t>The LedgerSight AR/Cash golden workflow executes from synthetic sources through governed agents.</w:t>
      </w:r>
    </w:p>
    <w:p>
      <w:pPr>
        <w:pStyle w:val="ListBullet"/>
      </w:pPr>
      <w:r>
        <w:t>Policy deterministically returns ALLOW/ESCALATE/DENY with versioned reason codes.</w:t>
      </w:r>
    </w:p>
    <w:p>
      <w:pPr>
        <w:pStyle w:val="ListBullet"/>
      </w:pPr>
      <w:r>
        <w:t>Consequential action cannot bypass required human approval.</w:t>
      </w:r>
    </w:p>
    <w:p>
      <w:pPr>
        <w:pStyle w:val="ListBullet"/>
      </w:pPr>
      <w:r>
        <w:t>Execution Gateway is the only component capable of the write side effect.</w:t>
      </w:r>
    </w:p>
    <w:p>
      <w:pPr>
        <w:pStyle w:val="ListBullet"/>
      </w:pPr>
      <w:r>
        <w:t>Evidence precommit failure prevents execution.</w:t>
      </w:r>
    </w:p>
    <w:p>
      <w:pPr>
        <w:pStyle w:val="ListBullet"/>
      </w:pPr>
      <w:r>
        <w:t>Completed evidence verifies cryptographically and tampering is detectable.</w:t>
      </w:r>
    </w:p>
    <w:p>
      <w:pPr>
        <w:pStyle w:val="ListBullet"/>
      </w:pPr>
      <w:r>
        <w:t>Tenant isolation, unauthorized tool, expired token, duplicate retry and prompt-injection tests pass.</w:t>
      </w:r>
    </w:p>
    <w:p>
      <w:pPr>
        <w:pStyle w:val="ListBullet"/>
      </w:pPr>
      <w:r>
        <w:t>Readiness UI can show which controls are supported by runtime evidence and which remain gaps.</w:t>
      </w:r>
    </w:p>
    <w:p>
      <w:pPr>
        <w:pStyle w:val="ListBullet"/>
      </w:pPr>
      <w:r>
        <w:t>Demo can be delivered end-to-end in under 15 minutes without developer intervention.</w:t>
      </w:r>
    </w:p>
    <w:p>
      <w:pPr>
        <w:pStyle w:val="Heading1"/>
      </w:pPr>
      <w:r>
        <w:t>21. Client Demo Script - 12 Minutes</w:t>
      </w:r>
    </w:p>
    <w:tbl>
      <w:tblPr>
        <w:tblStyle w:val="TableGrid"/>
        <w:tblW w:type="auto" w:w="0"/>
        <w:jc w:val="center"/>
        <w:tblLook w:firstColumn="1" w:firstRow="1" w:lastColumn="0" w:lastRow="0" w:noHBand="0" w:noVBand="1" w:val="04A0"/>
      </w:tblPr>
      <w:tblGrid>
        <w:gridCol w:w="5083"/>
        <w:gridCol w:w="5083"/>
      </w:tblGrid>
      <w:tr>
        <w:tc>
          <w:tcPr>
            <w:tcW w:type="dxa" w:w="1224"/>
            <w:shd w:fill="102A56"/>
            <w:vAlign w:val="center"/>
            <w:tcMar>
              <w:top w:w="90" w:type="dxa"/>
              <w:start w:w="110" w:type="dxa"/>
              <w:bottom w:w="90" w:type="dxa"/>
              <w:end w:w="110" w:type="dxa"/>
            </w:tcMar>
          </w:tcPr>
          <w:p>
            <w:r>
              <w:rPr>
                <w:b/>
                <w:color w:val="FFFFFF"/>
                <w:sz w:val="17"/>
              </w:rPr>
              <w:t>Minute</w:t>
            </w:r>
          </w:p>
        </w:tc>
        <w:tc>
          <w:tcPr>
            <w:tcW w:type="dxa" w:w="8856"/>
            <w:shd w:fill="102A56"/>
            <w:vAlign w:val="center"/>
            <w:tcMar>
              <w:top w:w="90" w:type="dxa"/>
              <w:start w:w="110" w:type="dxa"/>
              <w:bottom w:w="90" w:type="dxa"/>
              <w:end w:w="110" w:type="dxa"/>
            </w:tcMar>
          </w:tcPr>
          <w:p>
            <w:r>
              <w:rPr>
                <w:b/>
                <w:color w:val="FFFFFF"/>
                <w:sz w:val="17"/>
              </w:rPr>
              <w:t>Demo</w:t>
            </w:r>
          </w:p>
        </w:tc>
      </w:tr>
      <w:tr>
        <w:tc>
          <w:tcPr>
            <w:tcW w:type="dxa" w:w="1224"/>
            <w:vAlign w:val="center"/>
            <w:tcMar>
              <w:top w:w="90" w:type="dxa"/>
              <w:start w:w="110" w:type="dxa"/>
              <w:bottom w:w="90" w:type="dxa"/>
              <w:end w:w="110" w:type="dxa"/>
            </w:tcMar>
          </w:tcPr>
          <w:p>
            <w:r>
              <w:rPr>
                <w:sz w:val="17"/>
              </w:rPr>
              <w:t>0-1</w:t>
            </w:r>
          </w:p>
        </w:tc>
        <w:tc>
          <w:tcPr>
            <w:tcW w:type="dxa" w:w="8856"/>
            <w:vAlign w:val="center"/>
            <w:tcMar>
              <w:top w:w="90" w:type="dxa"/>
              <w:start w:w="110" w:type="dxa"/>
              <w:bottom w:w="90" w:type="dxa"/>
              <w:end w:w="110" w:type="dxa"/>
            </w:tcMar>
          </w:tcPr>
          <w:p>
            <w:r>
              <w:rPr>
                <w:sz w:val="17"/>
              </w:rPr>
              <w:t>Login; show tenant, environment, role, data freshness and evidence health.</w:t>
            </w:r>
          </w:p>
        </w:tc>
      </w:tr>
      <w:tr>
        <w:tc>
          <w:tcPr>
            <w:tcW w:type="dxa" w:w="1224"/>
            <w:vAlign w:val="center"/>
            <w:tcMar>
              <w:top w:w="90" w:type="dxa"/>
              <w:start w:w="110" w:type="dxa"/>
              <w:bottom w:w="90" w:type="dxa"/>
              <w:end w:w="110" w:type="dxa"/>
            </w:tcMar>
          </w:tcPr>
          <w:p>
            <w:r>
              <w:rPr>
                <w:sz w:val="17"/>
              </w:rPr>
              <w:t>1-3</w:t>
            </w:r>
          </w:p>
        </w:tc>
        <w:tc>
          <w:tcPr>
            <w:tcW w:type="dxa" w:w="8856"/>
            <w:vAlign w:val="center"/>
            <w:tcMar>
              <w:top w:w="90" w:type="dxa"/>
              <w:start w:w="110" w:type="dxa"/>
              <w:bottom w:w="90" w:type="dxa"/>
              <w:end w:w="110" w:type="dxa"/>
            </w:tcMar>
          </w:tcPr>
          <w:p>
            <w:r>
              <w:rPr>
                <w:sz w:val="17"/>
              </w:rPr>
              <w:t>Diagnosis: open AI use case, systems/models/agents/data/actions; run risk/role classification.</w:t>
            </w:r>
          </w:p>
        </w:tc>
      </w:tr>
      <w:tr>
        <w:tc>
          <w:tcPr>
            <w:tcW w:type="dxa" w:w="1224"/>
            <w:vAlign w:val="center"/>
            <w:tcMar>
              <w:top w:w="90" w:type="dxa"/>
              <w:start w:w="110" w:type="dxa"/>
              <w:bottom w:w="90" w:type="dxa"/>
              <w:end w:w="110" w:type="dxa"/>
            </w:tcMar>
          </w:tcPr>
          <w:p>
            <w:r>
              <w:rPr>
                <w:sz w:val="17"/>
              </w:rPr>
              <w:t>3-4</w:t>
            </w:r>
          </w:p>
        </w:tc>
        <w:tc>
          <w:tcPr>
            <w:tcW w:type="dxa" w:w="8856"/>
            <w:vAlign w:val="center"/>
            <w:tcMar>
              <w:top w:w="90" w:type="dxa"/>
              <w:start w:w="110" w:type="dxa"/>
              <w:bottom w:w="90" w:type="dxa"/>
              <w:end w:w="110" w:type="dxa"/>
            </w:tcMar>
          </w:tcPr>
          <w:p>
            <w:r>
              <w:rPr>
                <w:sz w:val="17"/>
              </w:rPr>
              <w:t>Readiness: show applicable controls, gaps and generated Diagnosis/Readiness report.</w:t>
            </w:r>
          </w:p>
        </w:tc>
      </w:tr>
      <w:tr>
        <w:tc>
          <w:tcPr>
            <w:tcW w:type="dxa" w:w="1224"/>
            <w:vAlign w:val="center"/>
            <w:tcMar>
              <w:top w:w="90" w:type="dxa"/>
              <w:start w:w="110" w:type="dxa"/>
              <w:bottom w:w="90" w:type="dxa"/>
              <w:end w:w="110" w:type="dxa"/>
            </w:tcMar>
          </w:tcPr>
          <w:p>
            <w:r>
              <w:rPr>
                <w:sz w:val="17"/>
              </w:rPr>
              <w:t>4-5</w:t>
            </w:r>
          </w:p>
        </w:tc>
        <w:tc>
          <w:tcPr>
            <w:tcW w:type="dxa" w:w="8856"/>
            <w:vAlign w:val="center"/>
            <w:tcMar>
              <w:top w:w="90" w:type="dxa"/>
              <w:start w:w="110" w:type="dxa"/>
              <w:bottom w:w="90" w:type="dxa"/>
              <w:end w:w="110" w:type="dxa"/>
            </w:tcMar>
          </w:tcPr>
          <w:p>
            <w:r>
              <w:rPr>
                <w:sz w:val="17"/>
              </w:rPr>
              <w:t>Launch POC: activate LedgerSight AR/Cash Workflow Pack and show bound agents/policies/approval matrix.</w:t>
            </w:r>
          </w:p>
        </w:tc>
      </w:tr>
      <w:tr>
        <w:tc>
          <w:tcPr>
            <w:tcW w:type="dxa" w:w="1224"/>
            <w:vAlign w:val="center"/>
            <w:tcMar>
              <w:top w:w="90" w:type="dxa"/>
              <w:start w:w="110" w:type="dxa"/>
              <w:bottom w:w="90" w:type="dxa"/>
              <w:end w:w="110" w:type="dxa"/>
            </w:tcMar>
          </w:tcPr>
          <w:p>
            <w:r>
              <w:rPr>
                <w:sz w:val="17"/>
              </w:rPr>
              <w:t>5-7</w:t>
            </w:r>
          </w:p>
        </w:tc>
        <w:tc>
          <w:tcPr>
            <w:tcW w:type="dxa" w:w="8856"/>
            <w:vAlign w:val="center"/>
            <w:tcMar>
              <w:top w:w="90" w:type="dxa"/>
              <w:start w:w="110" w:type="dxa"/>
              <w:bottom w:w="90" w:type="dxa"/>
              <w:end w:w="110" w:type="dxa"/>
            </w:tcMar>
          </w:tcPr>
          <w:p>
            <w:r>
              <w:rPr>
                <w:sz w:val="17"/>
              </w:rPr>
              <w:t>Run transaction: bank receipt + AR + remittance; show deterministic candidates and Match Agent rationale.</w:t>
            </w:r>
          </w:p>
        </w:tc>
      </w:tr>
      <w:tr>
        <w:tc>
          <w:tcPr>
            <w:tcW w:type="dxa" w:w="1224"/>
            <w:vAlign w:val="center"/>
            <w:tcMar>
              <w:top w:w="90" w:type="dxa"/>
              <w:start w:w="110" w:type="dxa"/>
              <w:bottom w:w="90" w:type="dxa"/>
              <w:end w:w="110" w:type="dxa"/>
            </w:tcMar>
          </w:tcPr>
          <w:p>
            <w:r>
              <w:rPr>
                <w:sz w:val="17"/>
              </w:rPr>
              <w:t>7-8</w:t>
            </w:r>
          </w:p>
        </w:tc>
        <w:tc>
          <w:tcPr>
            <w:tcW w:type="dxa" w:w="8856"/>
            <w:vAlign w:val="center"/>
            <w:tcMar>
              <w:top w:w="90" w:type="dxa"/>
              <w:start w:w="110" w:type="dxa"/>
              <w:bottom w:w="90" w:type="dxa"/>
              <w:end w:w="110" w:type="dxa"/>
            </w:tcMar>
          </w:tcPr>
          <w:p>
            <w:r>
              <w:rPr>
                <w:sz w:val="17"/>
              </w:rPr>
              <w:t>Ambiguous/high-value case escalates; Controller approves.</w:t>
            </w:r>
          </w:p>
        </w:tc>
      </w:tr>
      <w:tr>
        <w:tc>
          <w:tcPr>
            <w:tcW w:type="dxa" w:w="1224"/>
            <w:vAlign w:val="center"/>
            <w:tcMar>
              <w:top w:w="90" w:type="dxa"/>
              <w:start w:w="110" w:type="dxa"/>
              <w:bottom w:w="90" w:type="dxa"/>
              <w:end w:w="110" w:type="dxa"/>
            </w:tcMar>
          </w:tcPr>
          <w:p>
            <w:r>
              <w:rPr>
                <w:sz w:val="17"/>
              </w:rPr>
              <w:t>8-9</w:t>
            </w:r>
          </w:p>
        </w:tc>
        <w:tc>
          <w:tcPr>
            <w:tcW w:type="dxa" w:w="8856"/>
            <w:vAlign w:val="center"/>
            <w:tcMar>
              <w:top w:w="90" w:type="dxa"/>
              <w:start w:w="110" w:type="dxa"/>
              <w:bottom w:w="90" w:type="dxa"/>
              <w:end w:w="110" w:type="dxa"/>
            </w:tcMar>
          </w:tcPr>
          <w:p>
            <w:r>
              <w:rPr>
                <w:sz w:val="17"/>
              </w:rPr>
              <w:t>Evidence precommit → Execution Gateway → Mock SAP acknowledgement → evidence commit.</w:t>
            </w:r>
          </w:p>
        </w:tc>
      </w:tr>
      <w:tr>
        <w:tc>
          <w:tcPr>
            <w:tcW w:type="dxa" w:w="1224"/>
            <w:vAlign w:val="center"/>
            <w:tcMar>
              <w:top w:w="90" w:type="dxa"/>
              <w:start w:w="110" w:type="dxa"/>
              <w:bottom w:w="90" w:type="dxa"/>
              <w:end w:w="110" w:type="dxa"/>
            </w:tcMar>
          </w:tcPr>
          <w:p>
            <w:r>
              <w:rPr>
                <w:sz w:val="17"/>
              </w:rPr>
              <w:t>9-10</w:t>
            </w:r>
          </w:p>
        </w:tc>
        <w:tc>
          <w:tcPr>
            <w:tcW w:type="dxa" w:w="8856"/>
            <w:vAlign w:val="center"/>
            <w:tcMar>
              <w:top w:w="90" w:type="dxa"/>
              <w:start w:w="110" w:type="dxa"/>
              <w:bottom w:w="90" w:type="dxa"/>
              <w:end w:w="110" w:type="dxa"/>
            </w:tcMar>
          </w:tcPr>
          <w:p>
            <w:r>
              <w:rPr>
                <w:sz w:val="17"/>
              </w:rPr>
              <w:t>Open View Evidence; verify signature/chain.</w:t>
            </w:r>
          </w:p>
        </w:tc>
      </w:tr>
      <w:tr>
        <w:tc>
          <w:tcPr>
            <w:tcW w:type="dxa" w:w="1224"/>
            <w:vAlign w:val="center"/>
            <w:tcMar>
              <w:top w:w="90" w:type="dxa"/>
              <w:start w:w="110" w:type="dxa"/>
              <w:bottom w:w="90" w:type="dxa"/>
              <w:end w:w="110" w:type="dxa"/>
            </w:tcMar>
          </w:tcPr>
          <w:p>
            <w:r>
              <w:rPr>
                <w:sz w:val="17"/>
              </w:rPr>
              <w:t>10-11</w:t>
            </w:r>
          </w:p>
        </w:tc>
        <w:tc>
          <w:tcPr>
            <w:tcW w:type="dxa" w:w="8856"/>
            <w:vAlign w:val="center"/>
            <w:tcMar>
              <w:top w:w="90" w:type="dxa"/>
              <w:start w:w="110" w:type="dxa"/>
              <w:bottom w:w="90" w:type="dxa"/>
              <w:end w:w="110" w:type="dxa"/>
            </w:tcMar>
          </w:tcPr>
          <w:p>
            <w:r>
              <w:rPr>
                <w:sz w:val="17"/>
              </w:rPr>
              <w:t>Show guardrail failure: malicious instruction or unauthorized tool is denied.</w:t>
            </w:r>
          </w:p>
        </w:tc>
      </w:tr>
      <w:tr>
        <w:tc>
          <w:tcPr>
            <w:tcW w:type="dxa" w:w="1224"/>
            <w:vAlign w:val="center"/>
            <w:tcMar>
              <w:top w:w="90" w:type="dxa"/>
              <w:start w:w="110" w:type="dxa"/>
              <w:bottom w:w="90" w:type="dxa"/>
              <w:end w:w="110" w:type="dxa"/>
            </w:tcMar>
          </w:tcPr>
          <w:p>
            <w:r>
              <w:rPr>
                <w:sz w:val="17"/>
              </w:rPr>
              <w:t>11-12</w:t>
            </w:r>
          </w:p>
        </w:tc>
        <w:tc>
          <w:tcPr>
            <w:tcW w:type="dxa" w:w="8856"/>
            <w:vAlign w:val="center"/>
            <w:tcMar>
              <w:top w:w="90" w:type="dxa"/>
              <w:start w:w="110" w:type="dxa"/>
              <w:bottom w:w="90" w:type="dxa"/>
              <w:end w:w="110" w:type="dxa"/>
            </w:tcMar>
          </w:tcPr>
          <w:p>
            <w:r>
              <w:rPr>
                <w:sz w:val="17"/>
              </w:rPr>
              <w:t>Return to Readiness: show evidence coverage improvement and export readiness/evidence report.</w:t>
            </w:r>
          </w:p>
        </w:tc>
      </w:tr>
    </w:tbl>
    <w:p/>
    <w:p>
      <w:pPr>
        <w:pStyle w:val="Heading1"/>
      </w:pPr>
      <w:r>
        <w:t>22. Long-Run Evolution</w:t>
      </w:r>
    </w:p>
    <w:p>
      <w:pPr>
        <w:pStyle w:val="Heading3"/>
      </w:pPr>
      <w:r>
        <w:t>More Workflow Packs</w:t>
      </w:r>
    </w:p>
    <w:p>
      <w:r>
        <w:t>LedgerSight AP, payment governance, close, collections; CompliSight safety/compliance; CarbonSight verification - all reuse the same core.</w:t>
      </w:r>
    </w:p>
    <w:p>
      <w:pPr>
        <w:pStyle w:val="Heading3"/>
      </w:pPr>
      <w:r>
        <w:t>Customer/sovereign deployment</w:t>
      </w:r>
    </w:p>
    <w:p>
      <w:r>
        <w:t>Dedicated AWS accounts/VPCs, customer-managed keys, private/on-prem adapters, regional evidence profiles.</w:t>
      </w:r>
    </w:p>
    <w:p>
      <w:pPr>
        <w:pStyle w:val="Heading3"/>
      </w:pPr>
      <w:r>
        <w:t>Regulatory Knowledge Graph</w:t>
      </w:r>
    </w:p>
    <w:p>
      <w:r>
        <w:t>Expand Neo4j mappings across EU AI Act, ISO/IEC 42001/27001, NIST AI RMF and sector controls while keeping source/version lineage.</w:t>
      </w:r>
    </w:p>
    <w:p>
      <w:pPr>
        <w:pStyle w:val="Heading3"/>
      </w:pPr>
      <w:r>
        <w:t>Economics Fabric</w:t>
      </w:r>
    </w:p>
    <w:p>
      <w:r>
        <w:t>Per-workflow model/compute/human/evidence cost, quality drift and ROI evidence become an additional control plane.</w:t>
      </w:r>
    </w:p>
    <w:p>
      <w:pPr>
        <w:pStyle w:val="Heading3"/>
      </w:pPr>
      <w:r>
        <w:t>Independent agent governance</w:t>
      </w:r>
    </w:p>
    <w:p>
      <w:r>
        <w:t>Register and govern customer-built agents from other platforms through the same policy/authority/execution/evidence boundary.</w:t>
      </w:r>
    </w:p>
    <w:p>
      <w:pPr>
        <w:pStyle w:val="Heading1"/>
      </w:pPr>
      <w:r>
        <w:t>23. Key Engineering Decisions to Freeze Now</w:t>
      </w:r>
    </w:p>
    <w:p>
      <w:pPr>
        <w:pStyle w:val="ListBullet"/>
      </w:pPr>
      <w:r>
        <w:t>TrustOps Core remains vertical-neutral; LedgerSight is a Workflow Pack.</w:t>
      </w:r>
    </w:p>
    <w:p>
      <w:pPr>
        <w:pStyle w:val="ListBullet"/>
      </w:pPr>
      <w:r>
        <w:t>Diagnosis and EU AI Act readiness are product workflows backed by versioned controls/evidence, not legal-compliance automation.</w:t>
      </w:r>
    </w:p>
    <w:p>
      <w:pPr>
        <w:pStyle w:val="ListBullet"/>
      </w:pPr>
      <w:r>
        <w:t>Agents do not self-authorize and do not own direct write credentials.</w:t>
      </w:r>
    </w:p>
    <w:p>
      <w:pPr>
        <w:pStyle w:val="ListBullet"/>
      </w:pPr>
      <w:r>
        <w:t>Policy and authority are deterministic services separate from model reasoning.</w:t>
      </w:r>
    </w:p>
    <w:p>
      <w:pPr>
        <w:pStyle w:val="ListBullet"/>
      </w:pPr>
      <w:r>
        <w:t>Every consequential write uses PreparedAction → Evidence Precommit → Execution Gateway → Acknowledgement → Evidence Commit.</w:t>
      </w:r>
    </w:p>
    <w:p>
      <w:pPr>
        <w:pStyle w:val="ListBullet"/>
      </w:pPr>
      <w:r>
        <w:t>Models are selected through logical routes; providers remain replaceable.</w:t>
      </w:r>
    </w:p>
    <w:p>
      <w:pPr>
        <w:pStyle w:val="ListBullet"/>
      </w:pPr>
      <w:r>
        <w:t>All customer-specific behavior should be configuration/Workflow Packs unless a reusable platform primitive is missing.</w:t>
      </w:r>
    </w:p>
    <w:p>
      <w:pPr>
        <w:pStyle w:val="ListBullet"/>
      </w:pPr>
      <w:r>
        <w:t>The POC optimizes for a repeatable, believable client demo before breadth.</w:t>
      </w:r>
    </w:p>
    <w:p>
      <w:pPr>
        <w:pStyle w:val="Heading1"/>
      </w:pPr>
      <w:r>
        <w:t>24. Regulatory Sources and Engineering Note</w:t>
      </w:r>
    </w:p>
    <w:p>
      <w:r>
        <w:t>Engineering should periodically refresh the regulatory content pack from authoritative sources and store the source/version used by each readiness assessment. The following sources were used to validate the October 2026 timing and requirements referenced in this design:</w:t>
      </w:r>
    </w:p>
    <w:p>
      <w:pPr>
        <w:pStyle w:val="ListBullet"/>
      </w:pPr>
      <w:r>
        <w:t>European Commission - AI Act regulatory framework / application timeline (digital-strategy.ec.europa.eu).</w:t>
      </w:r>
    </w:p>
    <w:p>
      <w:pPr>
        <w:pStyle w:val="ListBullet"/>
      </w:pPr>
      <w:r>
        <w:t>European Commission - AI literacy Article 4 Q&amp;A and policy pages.</w:t>
      </w:r>
    </w:p>
    <w:p>
      <w:pPr>
        <w:pStyle w:val="ListBullet"/>
      </w:pPr>
      <w:r>
        <w:t>European Commission - Article 50 transparency guidelines and Q&amp;A.</w:t>
      </w:r>
    </w:p>
    <w:p>
      <w:pPr>
        <w:pStyle w:val="ListBullet"/>
      </w:pPr>
      <w:r>
        <w:t>European Commission - AI Omnibus enters into force / high-risk timing updates.</w:t>
      </w:r>
    </w:p>
    <w:p>
      <w:pPr>
        <w:pStyle w:val="ListBullet"/>
      </w:pPr>
      <w:r>
        <w:t>EUR-Lex - Regulation (EU) 2024/1689 consolidated text, including Articles 9-15 and Annex IV.</w:t>
      </w:r>
    </w:p>
    <w:p>
      <w:r>
        <w:t>This architecture provides technical controls, evidence and report-generation support. It does not itself determine legal applicability or certify compliance; customers should validate legal interpretation and final obligations with qualified counsel/compliance functions.</w:t>
      </w:r>
    </w:p>
    <w:tbl>
      <w:tblPr>
        <w:tblStyle w:val="TableGrid"/>
        <w:tblW w:type="auto" w:w="0"/>
        <w:jc w:val="center"/>
        <w:tblLook w:firstColumn="1" w:firstRow="1" w:lastColumn="0" w:lastRow="0" w:noHBand="0" w:noVBand="1" w:val="04A0"/>
      </w:tblPr>
      <w:tblGrid>
        <w:gridCol w:w="10166"/>
      </w:tblGrid>
      <w:tr>
        <w:tc>
          <w:tcPr>
            <w:tcW w:type="dxa" w:w="10166"/>
            <w:shd w:fill="EAF3FF"/>
            <w:tcMar>
              <w:top w:w="140" w:type="dxa"/>
              <w:start w:w="160" w:type="dxa"/>
              <w:bottom w:w="140" w:type="dxa"/>
              <w:end w:w="160" w:type="dxa"/>
            </w:tcMar>
          </w:tcPr>
          <w:p>
            <w:r>
              <w:rPr>
                <w:b/>
                <w:color w:val="102A56"/>
                <w:sz w:val="22"/>
              </w:rPr>
              <w:t>North Star</w:t>
              <w:br/>
            </w:r>
            <w:r>
              <w:rPr>
                <w:color w:val="172033"/>
                <w:sz w:val="20"/>
              </w:rPr>
              <w:t>AI may reason probabilistically. Consequences run only within deterministic authority, human approval and verifiable evidence boundaries.</w:t>
            </w:r>
          </w:p>
        </w:tc>
      </w:tr>
    </w:tbl>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CloudSeals TrustOps | POC Technical Design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5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3C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A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2A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b w:val="0"/>
      <w:color w:val="4A5568"/>
      <w:sz w:val="17"/>
    </w:rPr>
  </w:style>
  <w:style w:type="paragraph" w:customStyle="1" w:styleId="Code">
    <w:name w:val="Code"/>
    <w:pPr>
      <w:spacing w:after="60"/>
    </w:pPr>
    <w:rPr>
      <w:rFonts w:ascii="Aptos Mono" w:hAnsi="Aptos Mono"/>
      <w:b w:val="0"/>
      <w:color w:val="172033"/>
      <w:sz w:val="17"/>
    </w:rPr>
  </w:style>
  <w:style w:type="paragraph" w:customStyle="1" w:styleId="Callout">
    <w:name w:val="Callout"/>
    <w:pPr>
      <w:spacing w:after="60"/>
    </w:pPr>
    <w:rPr>
      <w:rFonts w:ascii="Aptos" w:hAnsi="Aptos"/>
      <w:b/>
      <w:color w:val="102A5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