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1300" w:lineRule="exact"/>
      </w:pPr>
      <w:r>
        <w:rPr>
          <w:sz w:val="2"/>
        </w:rPr>
        <w:t xml:space="preserve"> </w:t>
      </w:r>
    </w:p>
    <w:p>
      <w:pPr>
        <w:pStyle w:val="Heading2"/>
        <w:keepLines/>
      </w:pPr>
      <w:r>
        <w:t>QUANTEDGE 1 0 FINAL CHALLENGE</w:t>
      </w:r>
    </w:p>
    <w:p>
      <w:pPr>
        <w:spacing w:after="0" w:line="840" w:lineRule="exact"/>
      </w:pPr>
      <w:r>
        <w:rPr>
          <w:sz w:val="2"/>
        </w:rPr>
        <w:t xml:space="preserve"> </w:t>
      </w:r>
    </w:p>
    <w:p>
      <w:pPr>
        <w:pStyle w:val="Title"/>
        <w:keepLines/>
      </w:pPr>
      <w:r>
        <w:t>AEGIS</w:t>
      </w:r>
    </w:p>
    <w:p>
      <w:pPr>
        <w:pStyle w:val="Heading1"/>
        <w:keepLines/>
      </w:pPr>
      <w:r>
        <w:t>Capital preservation research</w:t>
        <w:br/>
        <w:t>for the Serendib University Endowment</w:t>
      </w:r>
    </w:p>
    <w:p>
      <w:pPr>
        <w:pStyle w:val="Heading2"/>
        <w:keepLines/>
      </w:pPr>
      <w:r>
        <w:t>Quantum-X USD 10 million proposed mandate</w:t>
      </w:r>
    </w:p>
    <w:p>
      <w:pPr>
        <w:spacing w:after="0" w:line="680" w:lineRule="exact"/>
      </w:pPr>
      <w:r>
        <w:rPr>
          <w:sz w:val="2"/>
        </w:rPr>
        <w:t xml:space="preserve"> </w:t>
      </w:r>
    </w:p>
    <w:p>
      <w:pPr>
        <w:pStyle w:val="Heading1"/>
        <w:keepLines/>
      </w:pPr>
      <w:r>
        <w:t>Decision proposal ADJUST</w:t>
      </w:r>
    </w:p>
    <w:p>
      <w:pPr>
        <w:keepLines/>
      </w:pPr>
      <w:r>
        <w:t>The constrained allocation limits ordinary volatility, but a 17.52% historical drawdown and 15.23% assumed scenario loss require a clear committee decision on risk tolerance.</w:t>
      </w:r>
    </w:p>
    <w:p>
      <w:pPr>
        <w:keepLines/>
      </w:pPr>
      <w:r>
        <w:rPr>
          <w:sz w:val="16"/>
        </w:rPr>
        <w:t>Data: 2005-01-03 to 2026-09-30. Prepared 24 October 2026.</w:t>
      </w:r>
    </w:p>
    <w:p>
      <w:pPr>
        <w:keepLines/>
      </w:pPr>
      <w:r>
        <w:rPr>
          <w:sz w:val="16"/>
        </w:rPr>
        <w:t>All findings are calculated by the accompanying code. The allocation and recommendation require independent human-team validation under the competition AI policy.</w:t>
      </w:r>
    </w:p>
    <w:p>
      <w:r>
        <w:br w:type="page"/>
      </w:r>
    </w:p>
    <w:p>
      <w:pPr>
        <w:pStyle w:val="Heading1"/>
        <w:keepLines/>
      </w:pPr>
      <w:r>
        <w:t>01 Executive decision</w:t>
      </w:r>
    </w:p>
    <w:p>
      <w:pPr>
        <w:keepLines/>
      </w:pPr>
      <w:r>
        <w:t>A conservative mandate needs a loss budget that the committee can defend during a crisis. The research therefore chooses minimum training variance under explicit asset limits, rather than selecting the portfolio with the highest later return. The proposed mandate is fully invested and restricted to the seven ETFs in the official brief.</w:t>
      </w:r>
    </w:p>
    <w:p>
      <w:pPr>
        <w:keepLines/>
      </w:pPr>
      <w:r>
        <w:t>The candidate holds SPY 11.73%, AGG 70.00%, GLD 10.00%, XLK 8.27%. Zero weights remain eligible for later committee-approved allocation changes.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00"/>
        <w:gridCol w:w="2700"/>
        <w:gridCol w:w="2700"/>
      </w:tblGrid>
      <w:tr>
        <w:trPr>
          <w:tblHeader/>
        </w:trPr>
        <w:tc>
          <w:tcPr>
            <w:tcW w:type="dxa" w:w="4100"/>
            <w:vAlign w:val="center"/>
            <w:shd w:fill="E5F1F1"/>
            <w:tcMar>
              <w:top w:w="70" w:type="dxa"/>
              <w:bottom w:w="70" w:type="dxa"/>
              <w:left w:w="100" w:type="dxa"/>
              <w:right w:w="100" w:type="dxa"/>
            </w:tcMar>
          </w:tcPr>
          <w:p>
            <w:pPr>
              <w:spacing w:after="0" w:line="252" w:lineRule="auto"/>
              <w:jc w:val="left"/>
            </w:pPr>
            <w:r>
              <w:rPr>
                <w:b/>
                <w:sz w:val="16"/>
              </w:rPr>
              <w:t>Held-out result</w:t>
            </w:r>
          </w:p>
        </w:tc>
        <w:tc>
          <w:tcPr>
            <w:tcW w:type="dxa" w:w="2700"/>
            <w:vAlign w:val="center"/>
            <w:shd w:fill="E5F1F1"/>
            <w:tcMar>
              <w:top w:w="70" w:type="dxa"/>
              <w:bottom w:w="70" w:type="dxa"/>
              <w:left w:w="100" w:type="dxa"/>
              <w:right w:w="100" w:type="dxa"/>
            </w:tcMar>
          </w:tcPr>
          <w:p>
            <w:pPr>
              <w:spacing w:after="0" w:line="252" w:lineRule="auto"/>
              <w:jc w:val="center"/>
            </w:pPr>
            <w:r>
              <w:rPr>
                <w:b/>
                <w:sz w:val="16"/>
              </w:rPr>
              <w:t>AEGIS</w:t>
            </w:r>
          </w:p>
        </w:tc>
        <w:tc>
          <w:tcPr>
            <w:tcW w:type="dxa" w:w="2700"/>
            <w:vAlign w:val="center"/>
            <w:shd w:fill="E5F1F1"/>
            <w:tcMar>
              <w:top w:w="70" w:type="dxa"/>
              <w:bottom w:w="70" w:type="dxa"/>
              <w:left w:w="100" w:type="dxa"/>
              <w:right w:w="100" w:type="dxa"/>
            </w:tcMar>
          </w:tcPr>
          <w:p>
            <w:pPr>
              <w:spacing w:after="0" w:line="252" w:lineRule="auto"/>
              <w:jc w:val="center"/>
            </w:pPr>
            <w:r>
              <w:rPr>
                <w:b/>
                <w:sz w:val="16"/>
              </w:rPr>
              <w:t>60/40 benchmark</w:t>
            </w:r>
          </w:p>
        </w:tc>
      </w:tr>
      <w:tr>
        <w:tc>
          <w:tcPr>
            <w:tcW w:type="dxa" w:w="4100"/>
            <w:vAlign w:val="center"/>
            <w:shd w:fill="FFFFFF"/>
            <w:tcMar>
              <w:top w:w="70" w:type="dxa"/>
              <w:bottom w:w="70" w:type="dxa"/>
              <w:left w:w="100" w:type="dxa"/>
              <w:right w:w="100" w:type="dxa"/>
            </w:tcMar>
          </w:tcPr>
          <w:p>
            <w:pPr>
              <w:spacing w:after="0" w:line="252" w:lineRule="auto"/>
              <w:jc w:val="left"/>
            </w:pPr>
            <w:r>
              <w:rPr>
                <w:b w:val="0"/>
                <w:sz w:val="16"/>
              </w:rPr>
              <w:t>Net CAGR</w:t>
            </w:r>
          </w:p>
        </w:tc>
        <w:tc>
          <w:tcPr>
            <w:tcW w:type="dxa" w:w="2700"/>
            <w:vAlign w:val="center"/>
            <w:shd w:fill="FFFFFF"/>
            <w:tcMar>
              <w:top w:w="70" w:type="dxa"/>
              <w:bottom w:w="70" w:type="dxa"/>
              <w:left w:w="100" w:type="dxa"/>
              <w:right w:w="100" w:type="dxa"/>
            </w:tcMar>
          </w:tcPr>
          <w:p>
            <w:pPr>
              <w:spacing w:after="0" w:line="252" w:lineRule="auto"/>
              <w:jc w:val="center"/>
            </w:pPr>
            <w:r>
              <w:rPr>
                <w:b w:val="0"/>
                <w:sz w:val="16"/>
              </w:rPr>
              <w:t>9.99%</w:t>
            </w:r>
          </w:p>
        </w:tc>
        <w:tc>
          <w:tcPr>
            <w:tcW w:type="dxa" w:w="2700"/>
            <w:vAlign w:val="center"/>
            <w:shd w:fill="FFFFFF"/>
            <w:tcMar>
              <w:top w:w="70" w:type="dxa"/>
              <w:bottom w:w="70" w:type="dxa"/>
              <w:left w:w="100" w:type="dxa"/>
              <w:right w:w="100" w:type="dxa"/>
            </w:tcMar>
          </w:tcPr>
          <w:p>
            <w:pPr>
              <w:spacing w:after="0" w:line="252" w:lineRule="auto"/>
              <w:jc w:val="center"/>
            </w:pPr>
            <w:r>
              <w:rPr>
                <w:b w:val="0"/>
                <w:sz w:val="16"/>
              </w:rPr>
              <w:t>14.16%</w:t>
            </w:r>
          </w:p>
        </w:tc>
      </w:tr>
      <w:tr>
        <w:tc>
          <w:tcPr>
            <w:tcW w:type="dxa" w:w="4100"/>
            <w:vAlign w:val="center"/>
            <w:shd w:fill="F4F7F9"/>
            <w:tcMar>
              <w:top w:w="70" w:type="dxa"/>
              <w:bottom w:w="70" w:type="dxa"/>
              <w:left w:w="100" w:type="dxa"/>
              <w:right w:w="100" w:type="dxa"/>
            </w:tcMar>
          </w:tcPr>
          <w:p>
            <w:pPr>
              <w:spacing w:after="0" w:line="252" w:lineRule="auto"/>
              <w:jc w:val="left"/>
            </w:pPr>
            <w:r>
              <w:rPr>
                <w:b w:val="0"/>
                <w:sz w:val="16"/>
              </w:rPr>
              <w:t>Annual volatility</w:t>
            </w:r>
          </w:p>
        </w:tc>
        <w:tc>
          <w:tcPr>
            <w:tcW w:type="dxa" w:w="2700"/>
            <w:vAlign w:val="center"/>
            <w:shd w:fill="F4F7F9"/>
            <w:tcMar>
              <w:top w:w="70" w:type="dxa"/>
              <w:bottom w:w="70" w:type="dxa"/>
              <w:left w:w="100" w:type="dxa"/>
              <w:right w:w="100" w:type="dxa"/>
            </w:tcMar>
          </w:tcPr>
          <w:p>
            <w:pPr>
              <w:spacing w:after="0" w:line="252" w:lineRule="auto"/>
              <w:jc w:val="center"/>
            </w:pPr>
            <w:r>
              <w:rPr>
                <w:b w:val="0"/>
                <w:sz w:val="16"/>
              </w:rPr>
              <w:t>6.64%</w:t>
            </w:r>
          </w:p>
        </w:tc>
        <w:tc>
          <w:tcPr>
            <w:tcW w:type="dxa" w:w="2700"/>
            <w:vAlign w:val="center"/>
            <w:shd w:fill="F4F7F9"/>
            <w:tcMar>
              <w:top w:w="70" w:type="dxa"/>
              <w:bottom w:w="70" w:type="dxa"/>
              <w:left w:w="100" w:type="dxa"/>
              <w:right w:w="100" w:type="dxa"/>
            </w:tcMar>
          </w:tcPr>
          <w:p>
            <w:pPr>
              <w:spacing w:after="0" w:line="252" w:lineRule="auto"/>
              <w:jc w:val="center"/>
            </w:pPr>
            <w:r>
              <w:rPr>
                <w:b w:val="0"/>
                <w:sz w:val="16"/>
              </w:rPr>
              <w:t>9.62%</w:t>
            </w:r>
          </w:p>
        </w:tc>
      </w:tr>
      <w:tr>
        <w:tc>
          <w:tcPr>
            <w:tcW w:type="dxa" w:w="4100"/>
            <w:vAlign w:val="center"/>
            <w:shd w:fill="FFFFFF"/>
            <w:tcMar>
              <w:top w:w="70" w:type="dxa"/>
              <w:bottom w:w="70" w:type="dxa"/>
              <w:left w:w="100" w:type="dxa"/>
              <w:right w:w="100" w:type="dxa"/>
            </w:tcMar>
          </w:tcPr>
          <w:p>
            <w:pPr>
              <w:spacing w:after="0" w:line="252" w:lineRule="auto"/>
              <w:jc w:val="left"/>
            </w:pPr>
            <w:r>
              <w:rPr>
                <w:b w:val="0"/>
                <w:sz w:val="16"/>
              </w:rPr>
              <w:t>Maximum drawdown</w:t>
            </w:r>
          </w:p>
        </w:tc>
        <w:tc>
          <w:tcPr>
            <w:tcW w:type="dxa" w:w="2700"/>
            <w:vAlign w:val="center"/>
            <w:shd w:fill="FFFFFF"/>
            <w:tcMar>
              <w:top w:w="70" w:type="dxa"/>
              <w:bottom w:w="70" w:type="dxa"/>
              <w:left w:w="100" w:type="dxa"/>
              <w:right w:w="100" w:type="dxa"/>
            </w:tcMar>
          </w:tcPr>
          <w:p>
            <w:pPr>
              <w:spacing w:after="0" w:line="252" w:lineRule="auto"/>
              <w:jc w:val="center"/>
            </w:pPr>
            <w:r>
              <w:rPr>
                <w:b w:val="0"/>
                <w:sz w:val="16"/>
              </w:rPr>
              <w:t>6.12%</w:t>
            </w:r>
          </w:p>
        </w:tc>
        <w:tc>
          <w:tcPr>
            <w:tcW w:type="dxa" w:w="2700"/>
            <w:vAlign w:val="center"/>
            <w:shd w:fill="FFFFFF"/>
            <w:tcMar>
              <w:top w:w="70" w:type="dxa"/>
              <w:bottom w:w="70" w:type="dxa"/>
              <w:left w:w="100" w:type="dxa"/>
              <w:right w:w="100" w:type="dxa"/>
            </w:tcMar>
          </w:tcPr>
          <w:p>
            <w:pPr>
              <w:spacing w:after="0" w:line="252" w:lineRule="auto"/>
              <w:jc w:val="center"/>
            </w:pPr>
            <w:r>
              <w:rPr>
                <w:b w:val="0"/>
                <w:sz w:val="16"/>
              </w:rPr>
              <w:t>11.29%</w:t>
            </w:r>
          </w:p>
        </w:tc>
      </w:tr>
    </w:tbl>
    <w:p>
      <w:pPr>
        <w:spacing w:after="0" w:line="180" w:lineRule="exact"/>
      </w:pPr>
      <w:r>
        <w:rPr>
          <w:sz w:val="2"/>
        </w:rPr>
        <w:t xml:space="preserve"> </w:t>
      </w:r>
    </w:p>
    <w:p>
      <w:pPr>
        <w:keepLines/>
      </w:pPr>
      <w:r>
        <w:t>The candidate delivers 9.99% net annualised compound return in the held-out sample, with 6.64% volatility. These are retrospective results, not a promised yield. Historical daily ES99 on the latest window is 1.31% or $131,011 of the reference capital.</w:t>
      </w:r>
    </w:p>
    <w:p>
      <w:pPr>
        <w:keepLines/>
      </w:pPr>
      <w:r>
        <w:t>The central conflict is stress tolerance. The worst historical replay drawdown is 17.52%, above the proposed 15% limit. The hypothetical funding squeeze loses 15.23%. The draft decision is ADJUST: resolve that conflict and agree spending requirements before committing capital. If the committee will not revise limits and no compliant alternative is substantiated, do not fund the mandate as proposed.</w:t>
      </w:r>
    </w:p>
    <w:p>
      <w:pPr>
        <w:keepLines/>
      </w:pPr>
      <w:r>
        <w:rPr>
          <w:sz w:val="16"/>
        </w:rPr>
        <w:t>No human-team approval has been recorded. Automated checks support the calculations; they do not establish that the team has independently accepted the investment judgment.</w:t>
      </w:r>
    </w:p>
    <w:p>
      <w:r>
        <w:br w:type="page"/>
      </w:r>
    </w:p>
    <w:p>
      <w:pPr>
        <w:pStyle w:val="Heading1"/>
        <w:keepLines/>
      </w:pPr>
      <w:r>
        <w:t>02 Mandate and data discipline</w:t>
      </w:r>
    </w:p>
    <w:p>
      <w:pPr>
        <w:keepLines/>
      </w:pPr>
      <w:r>
        <w:t>The proposed horizon is at least ten years with annual governance review. A provisional 4% nominal total-return objective is assessed against assumed 2.5% inflation, implying about 1.46% real growth before spending. The brief gives no payout rate; the team must agree one with the client. Distributions are reinvested in the return data, so the report cannot infer a sustainable cash income budget.</w:t>
      </w:r>
    </w:p>
    <w:p>
      <w:pPr>
        <w:keepLines/>
      </w:pPr>
      <w:r>
        <w:t>The approved sources are Yahoo Finance through yfinance and FRED DTB3. All seven ETFs have 5,470 common adjusted prices from 2005-01-03 through 2026-09-30. Missing aligned cells: 0; dropped incomplete rows: 0. Adjusted closes account for vendor splits and distributions, but can be revised [2,3].</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00"/>
        <w:gridCol w:w="8400"/>
      </w:tblGrid>
      <w:tr>
        <w:trPr>
          <w:tblHeader/>
        </w:trPr>
        <w:tc>
          <w:tcPr>
            <w:tcW w:type="dxa" w:w="1100"/>
            <w:vAlign w:val="center"/>
            <w:shd w:fill="E5F1F1"/>
            <w:tcMar>
              <w:top w:w="70" w:type="dxa"/>
              <w:bottom w:w="70" w:type="dxa"/>
              <w:left w:w="100" w:type="dxa"/>
              <w:right w:w="100" w:type="dxa"/>
            </w:tcMar>
          </w:tcPr>
          <w:p>
            <w:pPr>
              <w:spacing w:after="0" w:line="252" w:lineRule="auto"/>
              <w:jc w:val="left"/>
            </w:pPr>
            <w:r>
              <w:rPr>
                <w:b/>
                <w:sz w:val="16"/>
              </w:rPr>
              <w:t>ETF</w:t>
            </w:r>
          </w:p>
        </w:tc>
        <w:tc>
          <w:tcPr>
            <w:tcW w:type="dxa" w:w="8400"/>
            <w:vAlign w:val="center"/>
            <w:shd w:fill="E5F1F1"/>
            <w:tcMar>
              <w:top w:w="70" w:type="dxa"/>
              <w:bottom w:w="70" w:type="dxa"/>
              <w:left w:w="100" w:type="dxa"/>
              <w:right w:w="100" w:type="dxa"/>
            </w:tcMar>
          </w:tcPr>
          <w:p>
            <w:pPr>
              <w:spacing w:after="0" w:line="252" w:lineRule="auto"/>
              <w:jc w:val="center"/>
            </w:pPr>
            <w:r>
              <w:rPr>
                <w:b/>
                <w:sz w:val="16"/>
              </w:rPr>
              <w:t>Role and material exposure</w:t>
            </w:r>
          </w:p>
        </w:tc>
      </w:tr>
      <w:tr>
        <w:tc>
          <w:tcPr>
            <w:tcW w:type="dxa" w:w="1100"/>
            <w:vAlign w:val="center"/>
            <w:shd w:fill="FFFFFF"/>
            <w:tcMar>
              <w:top w:w="70" w:type="dxa"/>
              <w:bottom w:w="70" w:type="dxa"/>
              <w:left w:w="100" w:type="dxa"/>
              <w:right w:w="100" w:type="dxa"/>
            </w:tcMar>
          </w:tcPr>
          <w:p>
            <w:pPr>
              <w:spacing w:after="0" w:line="252" w:lineRule="auto"/>
              <w:jc w:val="left"/>
            </w:pPr>
            <w:r>
              <w:rPr>
                <w:b w:val="0"/>
                <w:sz w:val="16"/>
              </w:rPr>
              <w:t>SPY</w:t>
            </w:r>
          </w:p>
        </w:tc>
        <w:tc>
          <w:tcPr>
            <w:tcW w:type="dxa" w:w="8400"/>
            <w:vAlign w:val="center"/>
            <w:shd w:fill="FFFFFF"/>
            <w:tcMar>
              <w:top w:w="70" w:type="dxa"/>
              <w:bottom w:w="70" w:type="dxa"/>
              <w:left w:w="100" w:type="dxa"/>
              <w:right w:w="100" w:type="dxa"/>
            </w:tcMar>
          </w:tcPr>
          <w:p>
            <w:pPr>
              <w:spacing w:after="0" w:line="252" w:lineRule="auto"/>
              <w:jc w:val="left"/>
            </w:pPr>
            <w:r>
              <w:rPr>
                <w:b w:val="0"/>
                <w:sz w:val="16"/>
              </w:rPr>
              <w:t>US large-cap equities; broad market proxy</w:t>
            </w:r>
          </w:p>
        </w:tc>
      </w:tr>
      <w:tr>
        <w:tc>
          <w:tcPr>
            <w:tcW w:type="dxa" w:w="1100"/>
            <w:vAlign w:val="center"/>
            <w:shd w:fill="F4F7F9"/>
            <w:tcMar>
              <w:top w:w="70" w:type="dxa"/>
              <w:bottom w:w="70" w:type="dxa"/>
              <w:left w:w="100" w:type="dxa"/>
              <w:right w:w="100" w:type="dxa"/>
            </w:tcMar>
          </w:tcPr>
          <w:p>
            <w:pPr>
              <w:spacing w:after="0" w:line="252" w:lineRule="auto"/>
              <w:jc w:val="left"/>
            </w:pPr>
            <w:r>
              <w:rPr>
                <w:b w:val="0"/>
                <w:sz w:val="16"/>
              </w:rPr>
              <w:t>EFA</w:t>
            </w:r>
          </w:p>
        </w:tc>
        <w:tc>
          <w:tcPr>
            <w:tcW w:type="dxa" w:w="8400"/>
            <w:vAlign w:val="center"/>
            <w:shd w:fill="F4F7F9"/>
            <w:tcMar>
              <w:top w:w="70" w:type="dxa"/>
              <w:bottom w:w="70" w:type="dxa"/>
              <w:left w:w="100" w:type="dxa"/>
              <w:right w:w="100" w:type="dxa"/>
            </w:tcMar>
          </w:tcPr>
          <w:p>
            <w:pPr>
              <w:spacing w:after="0" w:line="252" w:lineRule="auto"/>
              <w:jc w:val="left"/>
            </w:pPr>
            <w:r>
              <w:rPr>
                <w:b w:val="0"/>
                <w:sz w:val="16"/>
              </w:rPr>
              <w:t>Developed-market equities outside the US; currency exposure</w:t>
            </w:r>
          </w:p>
        </w:tc>
      </w:tr>
      <w:tr>
        <w:tc>
          <w:tcPr>
            <w:tcW w:type="dxa" w:w="1100"/>
            <w:vAlign w:val="center"/>
            <w:shd w:fill="FFFFFF"/>
            <w:tcMar>
              <w:top w:w="70" w:type="dxa"/>
              <w:bottom w:w="70" w:type="dxa"/>
              <w:left w:w="100" w:type="dxa"/>
              <w:right w:w="100" w:type="dxa"/>
            </w:tcMar>
          </w:tcPr>
          <w:p>
            <w:pPr>
              <w:spacing w:after="0" w:line="252" w:lineRule="auto"/>
              <w:jc w:val="left"/>
            </w:pPr>
            <w:r>
              <w:rPr>
                <w:b w:val="0"/>
                <w:sz w:val="16"/>
              </w:rPr>
              <w:t>EEM</w:t>
            </w:r>
          </w:p>
        </w:tc>
        <w:tc>
          <w:tcPr>
            <w:tcW w:type="dxa" w:w="8400"/>
            <w:vAlign w:val="center"/>
            <w:shd w:fill="FFFFFF"/>
            <w:tcMar>
              <w:top w:w="70" w:type="dxa"/>
              <w:bottom w:w="70" w:type="dxa"/>
              <w:left w:w="100" w:type="dxa"/>
              <w:right w:w="100" w:type="dxa"/>
            </w:tcMar>
          </w:tcPr>
          <w:p>
            <w:pPr>
              <w:spacing w:after="0" w:line="252" w:lineRule="auto"/>
              <w:jc w:val="left"/>
            </w:pPr>
            <w:r>
              <w:rPr>
                <w:b w:val="0"/>
                <w:sz w:val="16"/>
              </w:rPr>
              <w:t>Emerging-market equities; currency and political risk</w:t>
            </w:r>
          </w:p>
        </w:tc>
      </w:tr>
      <w:tr>
        <w:tc>
          <w:tcPr>
            <w:tcW w:type="dxa" w:w="1100"/>
            <w:vAlign w:val="center"/>
            <w:shd w:fill="F4F7F9"/>
            <w:tcMar>
              <w:top w:w="70" w:type="dxa"/>
              <w:bottom w:w="70" w:type="dxa"/>
              <w:left w:w="100" w:type="dxa"/>
              <w:right w:w="100" w:type="dxa"/>
            </w:tcMar>
          </w:tcPr>
          <w:p>
            <w:pPr>
              <w:spacing w:after="0" w:line="252" w:lineRule="auto"/>
              <w:jc w:val="left"/>
            </w:pPr>
            <w:r>
              <w:rPr>
                <w:b w:val="0"/>
                <w:sz w:val="16"/>
              </w:rPr>
              <w:t>AGG</w:t>
            </w:r>
          </w:p>
        </w:tc>
        <w:tc>
          <w:tcPr>
            <w:tcW w:type="dxa" w:w="8400"/>
            <w:vAlign w:val="center"/>
            <w:shd w:fill="F4F7F9"/>
            <w:tcMar>
              <w:top w:w="70" w:type="dxa"/>
              <w:bottom w:w="70" w:type="dxa"/>
              <w:left w:w="100" w:type="dxa"/>
              <w:right w:w="100" w:type="dxa"/>
            </w:tcMar>
          </w:tcPr>
          <w:p>
            <w:pPr>
              <w:spacing w:after="0" w:line="252" w:lineRule="auto"/>
              <w:jc w:val="left"/>
            </w:pPr>
            <w:r>
              <w:rPr>
                <w:b w:val="0"/>
                <w:sz w:val="16"/>
              </w:rPr>
              <w:t>Investment-grade aggregate bonds; duration, credit and mortgage risk</w:t>
            </w:r>
          </w:p>
        </w:tc>
      </w:tr>
      <w:tr>
        <w:tc>
          <w:tcPr>
            <w:tcW w:type="dxa" w:w="1100"/>
            <w:vAlign w:val="center"/>
            <w:shd w:fill="FFFFFF"/>
            <w:tcMar>
              <w:top w:w="70" w:type="dxa"/>
              <w:bottom w:w="70" w:type="dxa"/>
              <w:left w:w="100" w:type="dxa"/>
              <w:right w:w="100" w:type="dxa"/>
            </w:tcMar>
          </w:tcPr>
          <w:p>
            <w:pPr>
              <w:spacing w:after="0" w:line="252" w:lineRule="auto"/>
              <w:jc w:val="left"/>
            </w:pPr>
            <w:r>
              <w:rPr>
                <w:b w:val="0"/>
                <w:sz w:val="16"/>
              </w:rPr>
              <w:t>GLD</w:t>
            </w:r>
          </w:p>
        </w:tc>
        <w:tc>
          <w:tcPr>
            <w:tcW w:type="dxa" w:w="8400"/>
            <w:vAlign w:val="center"/>
            <w:shd w:fill="FFFFFF"/>
            <w:tcMar>
              <w:top w:w="70" w:type="dxa"/>
              <w:bottom w:w="70" w:type="dxa"/>
              <w:left w:w="100" w:type="dxa"/>
              <w:right w:w="100" w:type="dxa"/>
            </w:tcMar>
          </w:tcPr>
          <w:p>
            <w:pPr>
              <w:spacing w:after="0" w:line="252" w:lineRule="auto"/>
              <w:jc w:val="center"/>
            </w:pPr>
            <w:r>
              <w:rPr>
                <w:b w:val="0"/>
                <w:sz w:val="16"/>
              </w:rPr>
              <w:t>Gold; no contractual income</w:t>
            </w:r>
          </w:p>
        </w:tc>
      </w:tr>
      <w:tr>
        <w:tc>
          <w:tcPr>
            <w:tcW w:type="dxa" w:w="1100"/>
            <w:vAlign w:val="center"/>
            <w:shd w:fill="F4F7F9"/>
            <w:tcMar>
              <w:top w:w="70" w:type="dxa"/>
              <w:bottom w:w="70" w:type="dxa"/>
              <w:left w:w="100" w:type="dxa"/>
              <w:right w:w="100" w:type="dxa"/>
            </w:tcMar>
          </w:tcPr>
          <w:p>
            <w:pPr>
              <w:spacing w:after="0" w:line="252" w:lineRule="auto"/>
              <w:jc w:val="left"/>
            </w:pPr>
            <w:r>
              <w:rPr>
                <w:b w:val="0"/>
                <w:sz w:val="16"/>
              </w:rPr>
              <w:t>XLE</w:t>
            </w:r>
          </w:p>
        </w:tc>
        <w:tc>
          <w:tcPr>
            <w:tcW w:type="dxa" w:w="8400"/>
            <w:vAlign w:val="center"/>
            <w:shd w:fill="F4F7F9"/>
            <w:tcMar>
              <w:top w:w="70" w:type="dxa"/>
              <w:bottom w:w="70" w:type="dxa"/>
              <w:left w:w="100" w:type="dxa"/>
              <w:right w:w="100" w:type="dxa"/>
            </w:tcMar>
          </w:tcPr>
          <w:p>
            <w:pPr>
              <w:spacing w:after="0" w:line="252" w:lineRule="auto"/>
              <w:jc w:val="left"/>
            </w:pPr>
            <w:r>
              <w:rPr>
                <w:b w:val="0"/>
                <w:sz w:val="16"/>
              </w:rPr>
              <w:t>Energy equities; not direct commodity futures</w:t>
            </w:r>
          </w:p>
        </w:tc>
      </w:tr>
      <w:tr>
        <w:tc>
          <w:tcPr>
            <w:tcW w:type="dxa" w:w="1100"/>
            <w:vAlign w:val="center"/>
            <w:shd w:fill="FFFFFF"/>
            <w:tcMar>
              <w:top w:w="70" w:type="dxa"/>
              <w:bottom w:w="70" w:type="dxa"/>
              <w:left w:w="100" w:type="dxa"/>
              <w:right w:w="100" w:type="dxa"/>
            </w:tcMar>
          </w:tcPr>
          <w:p>
            <w:pPr>
              <w:spacing w:after="0" w:line="252" w:lineRule="auto"/>
              <w:jc w:val="left"/>
            </w:pPr>
            <w:r>
              <w:rPr>
                <w:b w:val="0"/>
                <w:sz w:val="16"/>
              </w:rPr>
              <w:t>XLK</w:t>
            </w:r>
          </w:p>
        </w:tc>
        <w:tc>
          <w:tcPr>
            <w:tcW w:type="dxa" w:w="8400"/>
            <w:vAlign w:val="center"/>
            <w:shd w:fill="FFFFFF"/>
            <w:tcMar>
              <w:top w:w="70" w:type="dxa"/>
              <w:bottom w:w="70" w:type="dxa"/>
              <w:left w:w="100" w:type="dxa"/>
              <w:right w:w="100" w:type="dxa"/>
            </w:tcMar>
          </w:tcPr>
          <w:p>
            <w:pPr>
              <w:spacing w:after="0" w:line="252" w:lineRule="auto"/>
              <w:jc w:val="center"/>
            </w:pPr>
            <w:r>
              <w:rPr>
                <w:b w:val="0"/>
                <w:sz w:val="16"/>
              </w:rPr>
              <w:t>Technology equities; overlap with SPY</w:t>
            </w:r>
          </w:p>
        </w:tc>
      </w:tr>
    </w:tbl>
    <w:p>
      <w:pPr>
        <w:spacing w:after="0" w:line="180" w:lineRule="exact"/>
      </w:pPr>
      <w:r>
        <w:rPr>
          <w:sz w:val="2"/>
        </w:rPr>
        <w:t xml:space="preserve"> </w:t>
      </w:r>
    </w:p>
    <w:p>
      <w:pPr>
        <w:keepLines/>
      </w:pPr>
      <w:r>
        <w:t>Simple returns are R = P/P_previous - 1. Log returns are log(P/P_previous). Dates are intersected before portfolio calculation; no price forward-fill or outlier removal is used. Large moves, flat prices and volatility breaks are flagged and retained. Snapshots are hashed and accompanied by retrieval timestamps.</w:t>
      </w:r>
    </w:p>
    <w:p>
      <w:pPr>
        <w:keepLines/>
      </w:pPr>
      <w:r>
        <w:rPr>
          <w:sz w:val="16"/>
        </w:rPr>
        <w:t>Training-return ADF p-values range from 0 to 3.14e-23. These checks test a unit root, not normality or stable volatility [11]. FRED quotes are strictly lagged; the bank-discount rate is converted using an assumed 91-day bill. Current-vintage rates remain a historical-information limitation.</w:t>
      </w:r>
    </w:p>
    <w:p>
      <w:r>
        <w:br w:type="page"/>
      </w:r>
    </w:p>
    <w:p>
      <w:pPr>
        <w:pStyle w:val="Heading1"/>
        <w:keepLines/>
      </w:pPr>
      <w:r>
        <w:t>03 Portfolio construction</w:t>
      </w:r>
    </w:p>
    <w:p>
      <w:pPr>
        <w:keepLines/>
      </w:pPr>
      <w:r>
        <w:t>Weights are fitted on 3,522 daily returns ending 2018-12-31. The 2019-2022 development period is reported separately. The test contains 939 returns from 2023-01-03 through 2026-09-30. No test outcome selects weights or model settings. This is a retrospective chronological exercise, not a preregistered track record.</w:t>
      </w:r>
    </w:p>
    <w:p>
      <w:pPr>
        <w:keepLines/>
      </w:pPr>
      <w:r>
        <w:t>The main objective is min w'Sigma w subject to full investment, nonnegative weights, 35-70% AGG, 5-20% GLD and 20-50% aggregate equity. Equity holdings have individual caps. Covariance is 90% training sample covariance plus 10% its diagonal. These limits are proposed governance assumptions rather than client-confirmed instructions [4].</w:t>
      </w:r>
    </w:p>
    <w:p>
      <w:pPr>
        <w:spacing w:after="80"/>
      </w:pPr>
      <w:r>
        <w:drawing>
          <wp:inline xmlns:a="http://schemas.openxmlformats.org/drawingml/2006/main" xmlns:pic="http://schemas.openxmlformats.org/drawingml/2006/picture">
            <wp:extent cx="6032500" cy="1837226"/>
            <wp:docPr id="1" name="Picture 1"/>
            <wp:cNvGraphicFramePr>
              <a:graphicFrameLocks noChangeAspect="1"/>
            </wp:cNvGraphicFramePr>
            <a:graphic>
              <a:graphicData uri="http://schemas.openxmlformats.org/drawingml/2006/picture">
                <pic:pic>
                  <pic:nvPicPr>
                    <pic:cNvPr id="0" name="allocation.png"/>
                    <pic:cNvPicPr/>
                  </pic:nvPicPr>
                  <pic:blipFill>
                    <a:blip r:embed="rId10"/>
                    <a:stretch>
                      <a:fillRect/>
                    </a:stretch>
                  </pic:blipFill>
                  <pic:spPr>
                    <a:xfrm>
                      <a:off x="0" y="0"/>
                      <a:ext cx="6032500" cy="1837226"/>
                    </a:xfrm>
                    <a:prstGeom prst="rect"/>
                  </pic:spPr>
                </pic:pic>
              </a:graphicData>
            </a:graphic>
          </wp:inline>
        </w:drawing>
      </w:r>
    </w:p>
    <w:p>
      <w:pPr>
        <w:keepLines/>
      </w:pPr>
      <w:r>
        <w:rPr>
          <w:sz w:val="16"/>
        </w:rPr>
        <w:t>Figure 1. Training-only target weights. The 70% AGG upper bound binds, leaving material duration and credit concentration despite low estimated variance.</w:t>
      </w:r>
    </w:p>
    <w:p>
      <w:pPr>
        <w:keepLines/>
      </w:pPr>
      <w:r>
        <w:t>Alternatives are constrained mean variance (risk aversion 6), constrained risk parity, equal weights and 60/40 SPY/AGG. Historical means in the mean-variance model are shrunk halfway toward their cross-asset average. Equal weights and 60/40 are comparators and exceed the proposed aggregate equity ceiling.</w:t>
      </w:r>
    </w:p>
    <w:p>
      <w:pPr>
        <w:keepLines/>
      </w:pPr>
      <w:r>
        <w:rPr>
          <w:sz w:val="16"/>
        </w:rPr>
        <w:t>Daily rebalancing charges 10bp per dollar of absolute traded weights before the next day's return. Initial purchase and taxes are excluded. Net wealth compounds (1-cost)(1+w'R). Risk forecasts and crisis replays use gross hypothetical P&amp;L; that distinction prevents treating their loss forecasts as exact net fund accounting.</w:t>
      </w:r>
    </w:p>
    <w:p>
      <w:r>
        <w:br w:type="page"/>
      </w:r>
    </w:p>
    <w:p>
      <w:pPr>
        <w:pStyle w:val="Heading1"/>
        <w:keepLines/>
      </w:pPr>
      <w:r>
        <w:t>04 Returns and investment trade offs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1600"/>
        <w:gridCol w:w="1600"/>
        <w:gridCol w:w="1600"/>
        <w:gridCol w:w="1300"/>
      </w:tblGrid>
      <w:tr>
        <w:trPr>
          <w:tblHeader/>
        </w:trPr>
        <w:tc>
          <w:tcPr>
            <w:tcW w:type="dxa" w:w="3400"/>
            <w:vAlign w:val="center"/>
            <w:shd w:fill="E5F1F1"/>
            <w:tcMar>
              <w:top w:w="70" w:type="dxa"/>
              <w:bottom w:w="70" w:type="dxa"/>
              <w:left w:w="100" w:type="dxa"/>
              <w:right w:w="100" w:type="dxa"/>
            </w:tcMar>
          </w:tcPr>
          <w:p>
            <w:pPr>
              <w:spacing w:after="0" w:line="252" w:lineRule="auto"/>
              <w:jc w:val="left"/>
            </w:pPr>
            <w:r>
              <w:rPr>
                <w:b/>
                <w:sz w:val="16"/>
              </w:rPr>
              <w:t>Held-out portfolio</w:t>
            </w:r>
          </w:p>
        </w:tc>
        <w:tc>
          <w:tcPr>
            <w:tcW w:type="dxa" w:w="1600"/>
            <w:vAlign w:val="center"/>
            <w:shd w:fill="E5F1F1"/>
            <w:tcMar>
              <w:top w:w="70" w:type="dxa"/>
              <w:bottom w:w="70" w:type="dxa"/>
              <w:left w:w="100" w:type="dxa"/>
              <w:right w:w="100" w:type="dxa"/>
            </w:tcMar>
          </w:tcPr>
          <w:p>
            <w:pPr>
              <w:spacing w:after="0" w:line="252" w:lineRule="auto"/>
              <w:jc w:val="center"/>
            </w:pPr>
            <w:r>
              <w:rPr>
                <w:b/>
                <w:sz w:val="16"/>
              </w:rPr>
              <w:t>Net CAGR</w:t>
            </w:r>
          </w:p>
        </w:tc>
        <w:tc>
          <w:tcPr>
            <w:tcW w:type="dxa" w:w="1600"/>
            <w:vAlign w:val="center"/>
            <w:shd w:fill="E5F1F1"/>
            <w:tcMar>
              <w:top w:w="70" w:type="dxa"/>
              <w:bottom w:w="70" w:type="dxa"/>
              <w:left w:w="100" w:type="dxa"/>
              <w:right w:w="100" w:type="dxa"/>
            </w:tcMar>
          </w:tcPr>
          <w:p>
            <w:pPr>
              <w:spacing w:after="0" w:line="252" w:lineRule="auto"/>
              <w:jc w:val="center"/>
            </w:pPr>
            <w:r>
              <w:rPr>
                <w:b/>
                <w:sz w:val="16"/>
              </w:rPr>
              <w:t>Volatility</w:t>
            </w:r>
          </w:p>
        </w:tc>
        <w:tc>
          <w:tcPr>
            <w:tcW w:type="dxa" w:w="1600"/>
            <w:vAlign w:val="center"/>
            <w:shd w:fill="E5F1F1"/>
            <w:tcMar>
              <w:top w:w="70" w:type="dxa"/>
              <w:bottom w:w="70" w:type="dxa"/>
              <w:left w:w="100" w:type="dxa"/>
              <w:right w:w="100" w:type="dxa"/>
            </w:tcMar>
          </w:tcPr>
          <w:p>
            <w:pPr>
              <w:spacing w:after="0" w:line="252" w:lineRule="auto"/>
              <w:jc w:val="center"/>
            </w:pPr>
            <w:r>
              <w:rPr>
                <w:b/>
                <w:sz w:val="16"/>
              </w:rPr>
              <w:t>Drawdown</w:t>
            </w:r>
          </w:p>
        </w:tc>
        <w:tc>
          <w:tcPr>
            <w:tcW w:type="dxa" w:w="1300"/>
            <w:vAlign w:val="center"/>
            <w:shd w:fill="E5F1F1"/>
            <w:tcMar>
              <w:top w:w="70" w:type="dxa"/>
              <w:bottom w:w="70" w:type="dxa"/>
              <w:left w:w="100" w:type="dxa"/>
              <w:right w:w="100" w:type="dxa"/>
            </w:tcMar>
          </w:tcPr>
          <w:p>
            <w:pPr>
              <w:spacing w:after="0" w:line="252" w:lineRule="auto"/>
              <w:jc w:val="center"/>
            </w:pPr>
            <w:r>
              <w:rPr>
                <w:b/>
                <w:sz w:val="16"/>
              </w:rPr>
              <w:t>Sharpe</w:t>
            </w:r>
          </w:p>
        </w:tc>
      </w:tr>
      <w:tr>
        <w:tc>
          <w:tcPr>
            <w:tcW w:type="dxa" w:w="3400"/>
            <w:vAlign w:val="center"/>
            <w:shd w:fill="FFFFFF"/>
            <w:tcMar>
              <w:top w:w="70" w:type="dxa"/>
              <w:bottom w:w="70" w:type="dxa"/>
              <w:left w:w="100" w:type="dxa"/>
              <w:right w:w="100" w:type="dxa"/>
            </w:tcMar>
          </w:tcPr>
          <w:p>
            <w:pPr>
              <w:spacing w:after="0" w:line="252" w:lineRule="auto"/>
              <w:jc w:val="left"/>
            </w:pPr>
            <w:r>
              <w:rPr>
                <w:b w:val="0"/>
                <w:sz w:val="16"/>
              </w:rPr>
              <w:t>AEGIS minimum variance</w:t>
            </w:r>
          </w:p>
        </w:tc>
        <w:tc>
          <w:tcPr>
            <w:tcW w:type="dxa" w:w="1600"/>
            <w:vAlign w:val="center"/>
            <w:shd w:fill="FFFFFF"/>
            <w:tcMar>
              <w:top w:w="70" w:type="dxa"/>
              <w:bottom w:w="70" w:type="dxa"/>
              <w:left w:w="100" w:type="dxa"/>
              <w:right w:w="100" w:type="dxa"/>
            </w:tcMar>
          </w:tcPr>
          <w:p>
            <w:pPr>
              <w:spacing w:after="0" w:line="252" w:lineRule="auto"/>
              <w:jc w:val="center"/>
            </w:pPr>
            <w:r>
              <w:rPr>
                <w:b w:val="0"/>
                <w:sz w:val="16"/>
              </w:rPr>
              <w:t>9.99%</w:t>
            </w:r>
          </w:p>
        </w:tc>
        <w:tc>
          <w:tcPr>
            <w:tcW w:type="dxa" w:w="1600"/>
            <w:vAlign w:val="center"/>
            <w:shd w:fill="FFFFFF"/>
            <w:tcMar>
              <w:top w:w="70" w:type="dxa"/>
              <w:bottom w:w="70" w:type="dxa"/>
              <w:left w:w="100" w:type="dxa"/>
              <w:right w:w="100" w:type="dxa"/>
            </w:tcMar>
          </w:tcPr>
          <w:p>
            <w:pPr>
              <w:spacing w:after="0" w:line="252" w:lineRule="auto"/>
              <w:jc w:val="center"/>
            </w:pPr>
            <w:r>
              <w:rPr>
                <w:b w:val="0"/>
                <w:sz w:val="16"/>
              </w:rPr>
              <w:t>6.64%</w:t>
            </w:r>
          </w:p>
        </w:tc>
        <w:tc>
          <w:tcPr>
            <w:tcW w:type="dxa" w:w="1600"/>
            <w:vAlign w:val="center"/>
            <w:shd w:fill="FFFFFF"/>
            <w:tcMar>
              <w:top w:w="70" w:type="dxa"/>
              <w:bottom w:w="70" w:type="dxa"/>
              <w:left w:w="100" w:type="dxa"/>
              <w:right w:w="100" w:type="dxa"/>
            </w:tcMar>
          </w:tcPr>
          <w:p>
            <w:pPr>
              <w:spacing w:after="0" w:line="252" w:lineRule="auto"/>
              <w:jc w:val="center"/>
            </w:pPr>
            <w:r>
              <w:rPr>
                <w:b w:val="0"/>
                <w:sz w:val="16"/>
              </w:rPr>
              <w:t>6.12%</w:t>
            </w:r>
          </w:p>
        </w:tc>
        <w:tc>
          <w:tcPr>
            <w:tcW w:type="dxa" w:w="1300"/>
            <w:vAlign w:val="center"/>
            <w:shd w:fill="FFFFFF"/>
            <w:tcMar>
              <w:top w:w="70" w:type="dxa"/>
              <w:bottom w:w="70" w:type="dxa"/>
              <w:left w:w="100" w:type="dxa"/>
              <w:right w:w="100" w:type="dxa"/>
            </w:tcMar>
          </w:tcPr>
          <w:p>
            <w:pPr>
              <w:spacing w:after="0" w:line="252" w:lineRule="auto"/>
              <w:jc w:val="center"/>
            </w:pPr>
            <w:r>
              <w:rPr>
                <w:b w:val="0"/>
                <w:sz w:val="16"/>
              </w:rPr>
              <w:t>0.79</w:t>
            </w:r>
          </w:p>
        </w:tc>
      </w:tr>
      <w:tr>
        <w:tc>
          <w:tcPr>
            <w:tcW w:type="dxa" w:w="3400"/>
            <w:vAlign w:val="center"/>
            <w:shd w:fill="F4F7F9"/>
            <w:tcMar>
              <w:top w:w="70" w:type="dxa"/>
              <w:bottom w:w="70" w:type="dxa"/>
              <w:left w:w="100" w:type="dxa"/>
              <w:right w:w="100" w:type="dxa"/>
            </w:tcMar>
          </w:tcPr>
          <w:p>
            <w:pPr>
              <w:spacing w:after="0" w:line="252" w:lineRule="auto"/>
              <w:jc w:val="left"/>
            </w:pPr>
            <w:r>
              <w:rPr>
                <w:b w:val="0"/>
                <w:sz w:val="16"/>
              </w:rPr>
              <w:t>Mean variance</w:t>
            </w:r>
          </w:p>
        </w:tc>
        <w:tc>
          <w:tcPr>
            <w:tcW w:type="dxa" w:w="1600"/>
            <w:vAlign w:val="center"/>
            <w:shd w:fill="F4F7F9"/>
            <w:tcMar>
              <w:top w:w="70" w:type="dxa"/>
              <w:bottom w:w="70" w:type="dxa"/>
              <w:left w:w="100" w:type="dxa"/>
              <w:right w:w="100" w:type="dxa"/>
            </w:tcMar>
          </w:tcPr>
          <w:p>
            <w:pPr>
              <w:spacing w:after="0" w:line="252" w:lineRule="auto"/>
              <w:jc w:val="center"/>
            </w:pPr>
            <w:r>
              <w:rPr>
                <w:b w:val="0"/>
                <w:sz w:val="16"/>
              </w:rPr>
              <w:t>12.78%</w:t>
            </w:r>
          </w:p>
        </w:tc>
        <w:tc>
          <w:tcPr>
            <w:tcW w:type="dxa" w:w="1600"/>
            <w:vAlign w:val="center"/>
            <w:shd w:fill="F4F7F9"/>
            <w:tcMar>
              <w:top w:w="70" w:type="dxa"/>
              <w:bottom w:w="70" w:type="dxa"/>
              <w:left w:w="100" w:type="dxa"/>
              <w:right w:w="100" w:type="dxa"/>
            </w:tcMar>
          </w:tcPr>
          <w:p>
            <w:pPr>
              <w:spacing w:after="0" w:line="252" w:lineRule="auto"/>
              <w:jc w:val="center"/>
            </w:pPr>
            <w:r>
              <w:rPr>
                <w:b w:val="0"/>
                <w:sz w:val="16"/>
              </w:rPr>
              <w:t>7.81%</w:t>
            </w:r>
          </w:p>
        </w:tc>
        <w:tc>
          <w:tcPr>
            <w:tcW w:type="dxa" w:w="1600"/>
            <w:vAlign w:val="center"/>
            <w:shd w:fill="F4F7F9"/>
            <w:tcMar>
              <w:top w:w="70" w:type="dxa"/>
              <w:bottom w:w="70" w:type="dxa"/>
              <w:left w:w="100" w:type="dxa"/>
              <w:right w:w="100" w:type="dxa"/>
            </w:tcMar>
          </w:tcPr>
          <w:p>
            <w:pPr>
              <w:spacing w:after="0" w:line="252" w:lineRule="auto"/>
              <w:jc w:val="center"/>
            </w:pPr>
            <w:r>
              <w:rPr>
                <w:b w:val="0"/>
                <w:sz w:val="16"/>
              </w:rPr>
              <w:t>6.49%</w:t>
            </w:r>
          </w:p>
        </w:tc>
        <w:tc>
          <w:tcPr>
            <w:tcW w:type="dxa" w:w="1300"/>
            <w:vAlign w:val="center"/>
            <w:shd w:fill="F4F7F9"/>
            <w:tcMar>
              <w:top w:w="70" w:type="dxa"/>
              <w:bottom w:w="70" w:type="dxa"/>
              <w:left w:w="100" w:type="dxa"/>
              <w:right w:w="100" w:type="dxa"/>
            </w:tcMar>
          </w:tcPr>
          <w:p>
            <w:pPr>
              <w:spacing w:after="0" w:line="252" w:lineRule="auto"/>
              <w:jc w:val="center"/>
            </w:pPr>
            <w:r>
              <w:rPr>
                <w:b w:val="0"/>
                <w:sz w:val="16"/>
              </w:rPr>
              <w:t>1.00</w:t>
            </w:r>
          </w:p>
        </w:tc>
      </w:tr>
      <w:tr>
        <w:tc>
          <w:tcPr>
            <w:tcW w:type="dxa" w:w="3400"/>
            <w:vAlign w:val="center"/>
            <w:shd w:fill="FFFFFF"/>
            <w:tcMar>
              <w:top w:w="70" w:type="dxa"/>
              <w:bottom w:w="70" w:type="dxa"/>
              <w:left w:w="100" w:type="dxa"/>
              <w:right w:w="100" w:type="dxa"/>
            </w:tcMar>
          </w:tcPr>
          <w:p>
            <w:pPr>
              <w:spacing w:after="0" w:line="252" w:lineRule="auto"/>
              <w:jc w:val="left"/>
            </w:pPr>
            <w:r>
              <w:rPr>
                <w:b w:val="0"/>
                <w:sz w:val="16"/>
              </w:rPr>
              <w:t>Constrained risk parity</w:t>
            </w:r>
          </w:p>
        </w:tc>
        <w:tc>
          <w:tcPr>
            <w:tcW w:type="dxa" w:w="1600"/>
            <w:vAlign w:val="center"/>
            <w:shd w:fill="FFFFFF"/>
            <w:tcMar>
              <w:top w:w="70" w:type="dxa"/>
              <w:bottom w:w="70" w:type="dxa"/>
              <w:left w:w="100" w:type="dxa"/>
              <w:right w:w="100" w:type="dxa"/>
            </w:tcMar>
          </w:tcPr>
          <w:p>
            <w:pPr>
              <w:spacing w:after="0" w:line="252" w:lineRule="auto"/>
              <w:jc w:val="center"/>
            </w:pPr>
            <w:r>
              <w:rPr>
                <w:b w:val="0"/>
                <w:sz w:val="16"/>
              </w:rPr>
              <w:t>11.23%</w:t>
            </w:r>
          </w:p>
        </w:tc>
        <w:tc>
          <w:tcPr>
            <w:tcW w:type="dxa" w:w="1600"/>
            <w:vAlign w:val="center"/>
            <w:shd w:fill="FFFFFF"/>
            <w:tcMar>
              <w:top w:w="70" w:type="dxa"/>
              <w:bottom w:w="70" w:type="dxa"/>
              <w:left w:w="100" w:type="dxa"/>
              <w:right w:w="100" w:type="dxa"/>
            </w:tcMar>
          </w:tcPr>
          <w:p>
            <w:pPr>
              <w:spacing w:after="0" w:line="252" w:lineRule="auto"/>
              <w:jc w:val="center"/>
            </w:pPr>
            <w:r>
              <w:rPr>
                <w:b w:val="0"/>
                <w:sz w:val="16"/>
              </w:rPr>
              <w:t>7.11%</w:t>
            </w:r>
          </w:p>
        </w:tc>
        <w:tc>
          <w:tcPr>
            <w:tcW w:type="dxa" w:w="1600"/>
            <w:vAlign w:val="center"/>
            <w:shd w:fill="FFFFFF"/>
            <w:tcMar>
              <w:top w:w="70" w:type="dxa"/>
              <w:bottom w:w="70" w:type="dxa"/>
              <w:left w:w="100" w:type="dxa"/>
              <w:right w:w="100" w:type="dxa"/>
            </w:tcMar>
          </w:tcPr>
          <w:p>
            <w:pPr>
              <w:spacing w:after="0" w:line="252" w:lineRule="auto"/>
              <w:jc w:val="center"/>
            </w:pPr>
            <w:r>
              <w:rPr>
                <w:b w:val="0"/>
                <w:sz w:val="16"/>
              </w:rPr>
              <w:t>5.80%</w:t>
            </w:r>
          </w:p>
        </w:tc>
        <w:tc>
          <w:tcPr>
            <w:tcW w:type="dxa" w:w="1300"/>
            <w:vAlign w:val="center"/>
            <w:shd w:fill="FFFFFF"/>
            <w:tcMar>
              <w:top w:w="70" w:type="dxa"/>
              <w:bottom w:w="70" w:type="dxa"/>
              <w:left w:w="100" w:type="dxa"/>
              <w:right w:w="100" w:type="dxa"/>
            </w:tcMar>
          </w:tcPr>
          <w:p>
            <w:pPr>
              <w:spacing w:after="0" w:line="252" w:lineRule="auto"/>
              <w:jc w:val="center"/>
            </w:pPr>
            <w:r>
              <w:rPr>
                <w:b w:val="0"/>
                <w:sz w:val="16"/>
              </w:rPr>
              <w:t>0.90</w:t>
            </w:r>
          </w:p>
        </w:tc>
      </w:tr>
      <w:tr>
        <w:tc>
          <w:tcPr>
            <w:tcW w:type="dxa" w:w="3400"/>
            <w:vAlign w:val="center"/>
            <w:shd w:fill="F4F7F9"/>
            <w:tcMar>
              <w:top w:w="70" w:type="dxa"/>
              <w:bottom w:w="70" w:type="dxa"/>
              <w:left w:w="100" w:type="dxa"/>
              <w:right w:w="100" w:type="dxa"/>
            </w:tcMar>
          </w:tcPr>
          <w:p>
            <w:pPr>
              <w:spacing w:after="0" w:line="252" w:lineRule="auto"/>
              <w:jc w:val="left"/>
            </w:pPr>
            <w:r>
              <w:rPr>
                <w:b w:val="0"/>
                <w:sz w:val="16"/>
              </w:rPr>
              <w:t>Equal weight</w:t>
            </w:r>
          </w:p>
        </w:tc>
        <w:tc>
          <w:tcPr>
            <w:tcW w:type="dxa" w:w="1600"/>
            <w:vAlign w:val="center"/>
            <w:shd w:fill="F4F7F9"/>
            <w:tcMar>
              <w:top w:w="70" w:type="dxa"/>
              <w:bottom w:w="70" w:type="dxa"/>
              <w:left w:w="100" w:type="dxa"/>
              <w:right w:w="100" w:type="dxa"/>
            </w:tcMar>
          </w:tcPr>
          <w:p>
            <w:pPr>
              <w:spacing w:after="0" w:line="252" w:lineRule="auto"/>
              <w:jc w:val="center"/>
            </w:pPr>
            <w:r>
              <w:rPr>
                <w:b w:val="0"/>
                <w:sz w:val="16"/>
              </w:rPr>
              <w:t>19.81%</w:t>
            </w:r>
          </w:p>
        </w:tc>
        <w:tc>
          <w:tcPr>
            <w:tcW w:type="dxa" w:w="1600"/>
            <w:vAlign w:val="center"/>
            <w:shd w:fill="F4F7F9"/>
            <w:tcMar>
              <w:top w:w="70" w:type="dxa"/>
              <w:bottom w:w="70" w:type="dxa"/>
              <w:left w:w="100" w:type="dxa"/>
              <w:right w:w="100" w:type="dxa"/>
            </w:tcMar>
          </w:tcPr>
          <w:p>
            <w:pPr>
              <w:spacing w:after="0" w:line="252" w:lineRule="auto"/>
              <w:jc w:val="center"/>
            </w:pPr>
            <w:r>
              <w:rPr>
                <w:b w:val="0"/>
                <w:sz w:val="16"/>
              </w:rPr>
              <w:t>11.93%</w:t>
            </w:r>
          </w:p>
        </w:tc>
        <w:tc>
          <w:tcPr>
            <w:tcW w:type="dxa" w:w="1600"/>
            <w:vAlign w:val="center"/>
            <w:shd w:fill="F4F7F9"/>
            <w:tcMar>
              <w:top w:w="70" w:type="dxa"/>
              <w:bottom w:w="70" w:type="dxa"/>
              <w:left w:w="100" w:type="dxa"/>
              <w:right w:w="100" w:type="dxa"/>
            </w:tcMar>
          </w:tcPr>
          <w:p>
            <w:pPr>
              <w:spacing w:after="0" w:line="252" w:lineRule="auto"/>
              <w:jc w:val="center"/>
            </w:pPr>
            <w:r>
              <w:rPr>
                <w:b w:val="0"/>
                <w:sz w:val="16"/>
              </w:rPr>
              <w:t>12.32%</w:t>
            </w:r>
          </w:p>
        </w:tc>
        <w:tc>
          <w:tcPr>
            <w:tcW w:type="dxa" w:w="1300"/>
            <w:vAlign w:val="center"/>
            <w:shd w:fill="F4F7F9"/>
            <w:tcMar>
              <w:top w:w="70" w:type="dxa"/>
              <w:bottom w:w="70" w:type="dxa"/>
              <w:left w:w="100" w:type="dxa"/>
              <w:right w:w="100" w:type="dxa"/>
            </w:tcMar>
          </w:tcPr>
          <w:p>
            <w:pPr>
              <w:spacing w:after="0" w:line="252" w:lineRule="auto"/>
              <w:jc w:val="center"/>
            </w:pPr>
            <w:r>
              <w:rPr>
                <w:b w:val="0"/>
                <w:sz w:val="16"/>
              </w:rPr>
              <w:t>1.20</w:t>
            </w:r>
          </w:p>
        </w:tc>
      </w:tr>
      <w:tr>
        <w:tc>
          <w:tcPr>
            <w:tcW w:type="dxa" w:w="3400"/>
            <w:vAlign w:val="center"/>
            <w:shd w:fill="FFFFFF"/>
            <w:tcMar>
              <w:top w:w="70" w:type="dxa"/>
              <w:bottom w:w="70" w:type="dxa"/>
              <w:left w:w="100" w:type="dxa"/>
              <w:right w:w="100" w:type="dxa"/>
            </w:tcMar>
          </w:tcPr>
          <w:p>
            <w:pPr>
              <w:spacing w:after="0" w:line="252" w:lineRule="auto"/>
              <w:jc w:val="left"/>
            </w:pPr>
            <w:r>
              <w:rPr>
                <w:b w:val="0"/>
                <w:sz w:val="16"/>
              </w:rPr>
              <w:t>60/40 benchmark</w:t>
            </w:r>
          </w:p>
        </w:tc>
        <w:tc>
          <w:tcPr>
            <w:tcW w:type="dxa" w:w="1600"/>
            <w:vAlign w:val="center"/>
            <w:shd w:fill="FFFFFF"/>
            <w:tcMar>
              <w:top w:w="70" w:type="dxa"/>
              <w:bottom w:w="70" w:type="dxa"/>
              <w:left w:w="100" w:type="dxa"/>
              <w:right w:w="100" w:type="dxa"/>
            </w:tcMar>
          </w:tcPr>
          <w:p>
            <w:pPr>
              <w:spacing w:after="0" w:line="252" w:lineRule="auto"/>
              <w:jc w:val="center"/>
            </w:pPr>
            <w:r>
              <w:rPr>
                <w:b w:val="0"/>
                <w:sz w:val="16"/>
              </w:rPr>
              <w:t>14.16%</w:t>
            </w:r>
          </w:p>
        </w:tc>
        <w:tc>
          <w:tcPr>
            <w:tcW w:type="dxa" w:w="1600"/>
            <w:vAlign w:val="center"/>
            <w:shd w:fill="FFFFFF"/>
            <w:tcMar>
              <w:top w:w="70" w:type="dxa"/>
              <w:bottom w:w="70" w:type="dxa"/>
              <w:left w:w="100" w:type="dxa"/>
              <w:right w:w="100" w:type="dxa"/>
            </w:tcMar>
          </w:tcPr>
          <w:p>
            <w:pPr>
              <w:spacing w:after="0" w:line="252" w:lineRule="auto"/>
              <w:jc w:val="center"/>
            </w:pPr>
            <w:r>
              <w:rPr>
                <w:b w:val="0"/>
                <w:sz w:val="16"/>
              </w:rPr>
              <w:t>9.62%</w:t>
            </w:r>
          </w:p>
        </w:tc>
        <w:tc>
          <w:tcPr>
            <w:tcW w:type="dxa" w:w="1600"/>
            <w:vAlign w:val="center"/>
            <w:shd w:fill="FFFFFF"/>
            <w:tcMar>
              <w:top w:w="70" w:type="dxa"/>
              <w:bottom w:w="70" w:type="dxa"/>
              <w:left w:w="100" w:type="dxa"/>
              <w:right w:w="100" w:type="dxa"/>
            </w:tcMar>
          </w:tcPr>
          <w:p>
            <w:pPr>
              <w:spacing w:after="0" w:line="252" w:lineRule="auto"/>
              <w:jc w:val="center"/>
            </w:pPr>
            <w:r>
              <w:rPr>
                <w:b w:val="0"/>
                <w:sz w:val="16"/>
              </w:rPr>
              <w:t>11.29%</w:t>
            </w:r>
          </w:p>
        </w:tc>
        <w:tc>
          <w:tcPr>
            <w:tcW w:type="dxa" w:w="1300"/>
            <w:vAlign w:val="center"/>
            <w:shd w:fill="FFFFFF"/>
            <w:tcMar>
              <w:top w:w="70" w:type="dxa"/>
              <w:bottom w:w="70" w:type="dxa"/>
              <w:left w:w="100" w:type="dxa"/>
              <w:right w:w="100" w:type="dxa"/>
            </w:tcMar>
          </w:tcPr>
          <w:p>
            <w:pPr>
              <w:spacing w:after="0" w:line="252" w:lineRule="auto"/>
              <w:jc w:val="center"/>
            </w:pPr>
            <w:r>
              <w:rPr>
                <w:b w:val="0"/>
                <w:sz w:val="16"/>
              </w:rPr>
              <w:t>0.96</w:t>
            </w:r>
          </w:p>
        </w:tc>
      </w:tr>
    </w:tbl>
    <w:p>
      <w:pPr>
        <w:spacing w:after="0" w:line="180" w:lineRule="exact"/>
      </w:pPr>
      <w:r>
        <w:rPr>
          <w:sz w:val="2"/>
        </w:rPr>
        <w:t xml:space="preserve"> </w:t>
      </w:r>
    </w:p>
    <w:p>
      <w:pPr>
        <w:spacing w:after="80"/>
      </w:pPr>
      <w:r>
        <w:drawing>
          <wp:inline xmlns:a="http://schemas.openxmlformats.org/drawingml/2006/main" xmlns:pic="http://schemas.openxmlformats.org/drawingml/2006/picture">
            <wp:extent cx="6032500" cy="2784546"/>
            <wp:docPr id="2" name="Picture 2"/>
            <wp:cNvGraphicFramePr>
              <a:graphicFrameLocks noChangeAspect="1"/>
            </wp:cNvGraphicFramePr>
            <a:graphic>
              <a:graphicData uri="http://schemas.openxmlformats.org/drawingml/2006/picture">
                <pic:pic>
                  <pic:nvPicPr>
                    <pic:cNvPr id="0" name="performance.png"/>
                    <pic:cNvPicPr/>
                  </pic:nvPicPr>
                  <pic:blipFill>
                    <a:blip r:embed="rId11"/>
                    <a:stretch>
                      <a:fillRect/>
                    </a:stretch>
                  </pic:blipFill>
                  <pic:spPr>
                    <a:xfrm>
                      <a:off x="0" y="0"/>
                      <a:ext cx="6032500" cy="2784546"/>
                    </a:xfrm>
                    <a:prstGeom prst="rect"/>
                  </pic:spPr>
                </pic:pic>
              </a:graphicData>
            </a:graphic>
          </wp:inline>
        </w:drawing>
      </w:r>
    </w:p>
    <w:p>
      <w:pPr>
        <w:keepLines/>
      </w:pPr>
      <w:r>
        <w:rPr>
          <w:sz w:val="16"/>
        </w:rPr>
        <w:t>Figure 2. Gross held-out paths illustrate allocation exposure; the table above charges the daily rebalance cost assumption. Higher-return alternatives also carry higher risk, and were not selected on this test sample.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1500"/>
        <w:gridCol w:w="5500"/>
      </w:tblGrid>
      <w:tr>
        <w:trPr>
          <w:tblHeader/>
        </w:trPr>
        <w:tc>
          <w:tcPr>
            <w:tcW w:type="dxa" w:w="2500"/>
            <w:vAlign w:val="center"/>
            <w:shd w:fill="E5F1F1"/>
            <w:tcMar>
              <w:top w:w="70" w:type="dxa"/>
              <w:bottom w:w="70" w:type="dxa"/>
              <w:left w:w="100" w:type="dxa"/>
              <w:right w:w="100" w:type="dxa"/>
            </w:tcMar>
          </w:tcPr>
          <w:p>
            <w:pPr>
              <w:spacing w:after="0" w:line="252" w:lineRule="auto"/>
              <w:jc w:val="left"/>
            </w:pPr>
            <w:r>
              <w:rPr>
                <w:b/>
                <w:sz w:val="16"/>
              </w:rPr>
              <w:t>AEGIS metric</w:t>
            </w:r>
          </w:p>
        </w:tc>
        <w:tc>
          <w:tcPr>
            <w:tcW w:type="dxa" w:w="1500"/>
            <w:vAlign w:val="center"/>
            <w:shd w:fill="E5F1F1"/>
            <w:tcMar>
              <w:top w:w="70" w:type="dxa"/>
              <w:bottom w:w="70" w:type="dxa"/>
              <w:left w:w="100" w:type="dxa"/>
              <w:right w:w="100" w:type="dxa"/>
            </w:tcMar>
          </w:tcPr>
          <w:p>
            <w:pPr>
              <w:spacing w:after="0" w:line="252" w:lineRule="auto"/>
              <w:jc w:val="center"/>
            </w:pPr>
            <w:r>
              <w:rPr>
                <w:b/>
                <w:sz w:val="16"/>
              </w:rPr>
              <w:t>Value</w:t>
            </w:r>
          </w:p>
        </w:tc>
        <w:tc>
          <w:tcPr>
            <w:tcW w:type="dxa" w:w="5500"/>
            <w:vAlign w:val="center"/>
            <w:shd w:fill="E5F1F1"/>
            <w:tcMar>
              <w:top w:w="70" w:type="dxa"/>
              <w:bottom w:w="70" w:type="dxa"/>
              <w:left w:w="100" w:type="dxa"/>
              <w:right w:w="100" w:type="dxa"/>
            </w:tcMar>
          </w:tcPr>
          <w:p>
            <w:pPr>
              <w:spacing w:after="0" w:line="252" w:lineRule="auto"/>
              <w:jc w:val="center"/>
            </w:pPr>
            <w:r>
              <w:rPr>
                <w:b/>
                <w:sz w:val="16"/>
              </w:rPr>
              <w:t>Interpretation</w:t>
            </w:r>
          </w:p>
        </w:tc>
      </w:tr>
      <w:tr>
        <w:tc>
          <w:tcPr>
            <w:tcW w:type="dxa" w:w="2500"/>
            <w:vAlign w:val="center"/>
            <w:shd w:fill="FFFFFF"/>
            <w:tcMar>
              <w:top w:w="70" w:type="dxa"/>
              <w:bottom w:w="70" w:type="dxa"/>
              <w:left w:w="100" w:type="dxa"/>
              <w:right w:w="100" w:type="dxa"/>
            </w:tcMar>
          </w:tcPr>
          <w:p>
            <w:pPr>
              <w:spacing w:after="0" w:line="252" w:lineRule="auto"/>
              <w:jc w:val="left"/>
            </w:pPr>
            <w:r>
              <w:rPr>
                <w:b w:val="0"/>
                <w:sz w:val="16"/>
              </w:rPr>
              <w:t>Sortino</w:t>
            </w:r>
          </w:p>
        </w:tc>
        <w:tc>
          <w:tcPr>
            <w:tcW w:type="dxa" w:w="1500"/>
            <w:vAlign w:val="center"/>
            <w:shd w:fill="FFFFFF"/>
            <w:tcMar>
              <w:top w:w="70" w:type="dxa"/>
              <w:bottom w:w="70" w:type="dxa"/>
              <w:left w:w="100" w:type="dxa"/>
              <w:right w:w="100" w:type="dxa"/>
            </w:tcMar>
          </w:tcPr>
          <w:p>
            <w:pPr>
              <w:spacing w:after="0" w:line="252" w:lineRule="auto"/>
              <w:jc w:val="center"/>
            </w:pPr>
            <w:r>
              <w:rPr>
                <w:b w:val="0"/>
                <w:sz w:val="16"/>
              </w:rPr>
              <w:t>1.153</w:t>
            </w:r>
          </w:p>
        </w:tc>
        <w:tc>
          <w:tcPr>
            <w:tcW w:type="dxa" w:w="5500"/>
            <w:vAlign w:val="center"/>
            <w:shd w:fill="FFFFFF"/>
            <w:tcMar>
              <w:top w:w="70" w:type="dxa"/>
              <w:bottom w:w="70" w:type="dxa"/>
              <w:left w:w="100" w:type="dxa"/>
              <w:right w:w="100" w:type="dxa"/>
            </w:tcMar>
          </w:tcPr>
          <w:p>
            <w:pPr>
              <w:spacing w:after="0" w:line="252" w:lineRule="auto"/>
              <w:jc w:val="left"/>
            </w:pPr>
            <w:r>
              <w:rPr>
                <w:b w:val="0"/>
                <w:sz w:val="16"/>
              </w:rPr>
              <w:t>Excess return / all-day downside deviation</w:t>
            </w:r>
          </w:p>
        </w:tc>
      </w:tr>
      <w:tr>
        <w:tc>
          <w:tcPr>
            <w:tcW w:type="dxa" w:w="2500"/>
            <w:vAlign w:val="center"/>
            <w:shd w:fill="F4F7F9"/>
            <w:tcMar>
              <w:top w:w="70" w:type="dxa"/>
              <w:bottom w:w="70" w:type="dxa"/>
              <w:left w:w="100" w:type="dxa"/>
              <w:right w:w="100" w:type="dxa"/>
            </w:tcMar>
          </w:tcPr>
          <w:p>
            <w:pPr>
              <w:spacing w:after="0" w:line="252" w:lineRule="auto"/>
              <w:jc w:val="left"/>
            </w:pPr>
            <w:r>
              <w:rPr>
                <w:b w:val="0"/>
                <w:sz w:val="16"/>
              </w:rPr>
              <w:t>Treynor</w:t>
            </w:r>
          </w:p>
        </w:tc>
        <w:tc>
          <w:tcPr>
            <w:tcW w:type="dxa" w:w="1500"/>
            <w:vAlign w:val="center"/>
            <w:shd w:fill="F4F7F9"/>
            <w:tcMar>
              <w:top w:w="70" w:type="dxa"/>
              <w:bottom w:w="70" w:type="dxa"/>
              <w:left w:w="100" w:type="dxa"/>
              <w:right w:w="100" w:type="dxa"/>
            </w:tcMar>
          </w:tcPr>
          <w:p>
            <w:pPr>
              <w:spacing w:after="0" w:line="252" w:lineRule="auto"/>
              <w:jc w:val="center"/>
            </w:pPr>
            <w:r>
              <w:rPr>
                <w:b w:val="0"/>
                <w:sz w:val="16"/>
              </w:rPr>
              <w:t>0.172</w:t>
            </w:r>
          </w:p>
        </w:tc>
        <w:tc>
          <w:tcPr>
            <w:tcW w:type="dxa" w:w="5500"/>
            <w:vAlign w:val="center"/>
            <w:shd w:fill="F4F7F9"/>
            <w:tcMar>
              <w:top w:w="70" w:type="dxa"/>
              <w:bottom w:w="70" w:type="dxa"/>
              <w:left w:w="100" w:type="dxa"/>
              <w:right w:w="100" w:type="dxa"/>
            </w:tcMar>
          </w:tcPr>
          <w:p>
            <w:pPr>
              <w:spacing w:after="0" w:line="252" w:lineRule="auto"/>
              <w:jc w:val="center"/>
            </w:pPr>
            <w:r>
              <w:rPr>
                <w:b w:val="0"/>
                <w:sz w:val="16"/>
              </w:rPr>
              <w:t>Annual excess return / beta</w:t>
            </w:r>
          </w:p>
        </w:tc>
      </w:tr>
      <w:tr>
        <w:tc>
          <w:tcPr>
            <w:tcW w:type="dxa" w:w="2500"/>
            <w:vAlign w:val="center"/>
            <w:shd w:fill="FFFFFF"/>
            <w:tcMar>
              <w:top w:w="70" w:type="dxa"/>
              <w:bottom w:w="70" w:type="dxa"/>
              <w:left w:w="100" w:type="dxa"/>
              <w:right w:w="100" w:type="dxa"/>
            </w:tcMar>
          </w:tcPr>
          <w:p>
            <w:pPr>
              <w:spacing w:after="0" w:line="252" w:lineRule="auto"/>
              <w:jc w:val="left"/>
            </w:pPr>
            <w:r>
              <w:rPr>
                <w:b w:val="0"/>
                <w:sz w:val="16"/>
              </w:rPr>
              <w:t>Jensen alpha</w:t>
            </w:r>
          </w:p>
        </w:tc>
        <w:tc>
          <w:tcPr>
            <w:tcW w:type="dxa" w:w="1500"/>
            <w:vAlign w:val="center"/>
            <w:shd w:fill="FFFFFF"/>
            <w:tcMar>
              <w:top w:w="70" w:type="dxa"/>
              <w:bottom w:w="70" w:type="dxa"/>
              <w:left w:w="100" w:type="dxa"/>
              <w:right w:w="100" w:type="dxa"/>
            </w:tcMar>
          </w:tcPr>
          <w:p>
            <w:pPr>
              <w:spacing w:after="0" w:line="252" w:lineRule="auto"/>
              <w:jc w:val="center"/>
            </w:pPr>
            <w:r>
              <w:rPr>
                <w:b w:val="0"/>
                <w:sz w:val="16"/>
              </w:rPr>
              <w:t>0.25%</w:t>
            </w:r>
          </w:p>
        </w:tc>
        <w:tc>
          <w:tcPr>
            <w:tcW w:type="dxa" w:w="5500"/>
            <w:vAlign w:val="center"/>
            <w:shd w:fill="FFFFFF"/>
            <w:tcMar>
              <w:top w:w="70" w:type="dxa"/>
              <w:bottom w:w="70" w:type="dxa"/>
              <w:left w:w="100" w:type="dxa"/>
              <w:right w:w="100" w:type="dxa"/>
            </w:tcMar>
          </w:tcPr>
          <w:p>
            <w:pPr>
              <w:spacing w:after="0" w:line="252" w:lineRule="auto"/>
              <w:jc w:val="left"/>
            </w:pPr>
            <w:r>
              <w:rPr>
                <w:b w:val="0"/>
                <w:sz w:val="16"/>
              </w:rPr>
              <w:t>Diagnostic alpha versus SPY, not proven skill</w:t>
            </w:r>
          </w:p>
        </w:tc>
      </w:tr>
      <w:tr>
        <w:tc>
          <w:tcPr>
            <w:tcW w:type="dxa" w:w="2500"/>
            <w:vAlign w:val="center"/>
            <w:shd w:fill="F4F7F9"/>
            <w:tcMar>
              <w:top w:w="70" w:type="dxa"/>
              <w:bottom w:w="70" w:type="dxa"/>
              <w:left w:w="100" w:type="dxa"/>
              <w:right w:w="100" w:type="dxa"/>
            </w:tcMar>
          </w:tcPr>
          <w:p>
            <w:pPr>
              <w:spacing w:after="0" w:line="252" w:lineRule="auto"/>
              <w:jc w:val="left"/>
            </w:pPr>
            <w:r>
              <w:rPr>
                <w:b w:val="0"/>
                <w:sz w:val="16"/>
              </w:rPr>
              <w:t>Information ratio</w:t>
            </w:r>
          </w:p>
        </w:tc>
        <w:tc>
          <w:tcPr>
            <w:tcW w:type="dxa" w:w="1500"/>
            <w:vAlign w:val="center"/>
            <w:shd w:fill="F4F7F9"/>
            <w:tcMar>
              <w:top w:w="70" w:type="dxa"/>
              <w:bottom w:w="70" w:type="dxa"/>
              <w:left w:w="100" w:type="dxa"/>
              <w:right w:w="100" w:type="dxa"/>
            </w:tcMar>
          </w:tcPr>
          <w:p>
            <w:pPr>
              <w:spacing w:after="0" w:line="252" w:lineRule="auto"/>
              <w:jc w:val="center"/>
            </w:pPr>
            <w:r>
              <w:rPr>
                <w:b w:val="0"/>
                <w:sz w:val="16"/>
              </w:rPr>
              <w:t>-0.695</w:t>
            </w:r>
          </w:p>
        </w:tc>
        <w:tc>
          <w:tcPr>
            <w:tcW w:type="dxa" w:w="5500"/>
            <w:vAlign w:val="center"/>
            <w:shd w:fill="F4F7F9"/>
            <w:tcMar>
              <w:top w:w="70" w:type="dxa"/>
              <w:bottom w:w="70" w:type="dxa"/>
              <w:left w:w="100" w:type="dxa"/>
              <w:right w:w="100" w:type="dxa"/>
            </w:tcMar>
          </w:tcPr>
          <w:p>
            <w:pPr>
              <w:spacing w:after="0" w:line="252" w:lineRule="auto"/>
              <w:jc w:val="left"/>
            </w:pPr>
            <w:r>
              <w:rPr>
                <w:b w:val="0"/>
                <w:sz w:val="16"/>
              </w:rPr>
              <w:t>Active return versus 60/40 / tracking error</w:t>
            </w:r>
          </w:p>
        </w:tc>
      </w:tr>
      <w:tr>
        <w:tc>
          <w:tcPr>
            <w:tcW w:type="dxa" w:w="2500"/>
            <w:vAlign w:val="center"/>
            <w:shd w:fill="FFFFFF"/>
            <w:tcMar>
              <w:top w:w="70" w:type="dxa"/>
              <w:bottom w:w="70" w:type="dxa"/>
              <w:left w:w="100" w:type="dxa"/>
              <w:right w:w="100" w:type="dxa"/>
            </w:tcMar>
          </w:tcPr>
          <w:p>
            <w:pPr>
              <w:spacing w:after="0" w:line="252" w:lineRule="auto"/>
              <w:jc w:val="left"/>
            </w:pPr>
            <w:r>
              <w:rPr>
                <w:b w:val="0"/>
                <w:sz w:val="16"/>
              </w:rPr>
              <w:t>Calmar</w:t>
            </w:r>
          </w:p>
        </w:tc>
        <w:tc>
          <w:tcPr>
            <w:tcW w:type="dxa" w:w="1500"/>
            <w:vAlign w:val="center"/>
            <w:shd w:fill="FFFFFF"/>
            <w:tcMar>
              <w:top w:w="70" w:type="dxa"/>
              <w:bottom w:w="70" w:type="dxa"/>
              <w:left w:w="100" w:type="dxa"/>
              <w:right w:w="100" w:type="dxa"/>
            </w:tcMar>
          </w:tcPr>
          <w:p>
            <w:pPr>
              <w:spacing w:after="0" w:line="252" w:lineRule="auto"/>
              <w:jc w:val="center"/>
            </w:pPr>
            <w:r>
              <w:rPr>
                <w:b w:val="0"/>
                <w:sz w:val="16"/>
              </w:rPr>
              <w:t>1.633</w:t>
            </w:r>
          </w:p>
        </w:tc>
        <w:tc>
          <w:tcPr>
            <w:tcW w:type="dxa" w:w="5500"/>
            <w:vAlign w:val="center"/>
            <w:shd w:fill="FFFFFF"/>
            <w:tcMar>
              <w:top w:w="70" w:type="dxa"/>
              <w:bottom w:w="70" w:type="dxa"/>
              <w:left w:w="100" w:type="dxa"/>
              <w:right w:w="100" w:type="dxa"/>
            </w:tcMar>
          </w:tcPr>
          <w:p>
            <w:pPr>
              <w:spacing w:after="0" w:line="252" w:lineRule="auto"/>
              <w:jc w:val="center"/>
            </w:pPr>
            <w:r>
              <w:rPr>
                <w:b w:val="0"/>
                <w:sz w:val="16"/>
              </w:rPr>
              <w:t>Net CAGR / maximum drawdown</w:t>
            </w:r>
          </w:p>
        </w:tc>
      </w:tr>
      <w:tr>
        <w:tc>
          <w:tcPr>
            <w:tcW w:type="dxa" w:w="2500"/>
            <w:vAlign w:val="center"/>
            <w:shd w:fill="F4F7F9"/>
            <w:tcMar>
              <w:top w:w="70" w:type="dxa"/>
              <w:bottom w:w="70" w:type="dxa"/>
              <w:left w:w="100" w:type="dxa"/>
              <w:right w:w="100" w:type="dxa"/>
            </w:tcMar>
          </w:tcPr>
          <w:p>
            <w:pPr>
              <w:spacing w:after="0" w:line="252" w:lineRule="auto"/>
              <w:jc w:val="left"/>
            </w:pPr>
            <w:r>
              <w:rPr>
                <w:b w:val="0"/>
                <w:sz w:val="16"/>
              </w:rPr>
              <w:t>Beta</w:t>
            </w:r>
          </w:p>
        </w:tc>
        <w:tc>
          <w:tcPr>
            <w:tcW w:type="dxa" w:w="1500"/>
            <w:vAlign w:val="center"/>
            <w:shd w:fill="F4F7F9"/>
            <w:tcMar>
              <w:top w:w="70" w:type="dxa"/>
              <w:bottom w:w="70" w:type="dxa"/>
              <w:left w:w="100" w:type="dxa"/>
              <w:right w:w="100" w:type="dxa"/>
            </w:tcMar>
          </w:tcPr>
          <w:p>
            <w:pPr>
              <w:spacing w:after="0" w:line="252" w:lineRule="auto"/>
              <w:jc w:val="center"/>
            </w:pPr>
            <w:r>
              <w:rPr>
                <w:b w:val="0"/>
                <w:sz w:val="16"/>
              </w:rPr>
              <w:t>0.304</w:t>
            </w:r>
          </w:p>
        </w:tc>
        <w:tc>
          <w:tcPr>
            <w:tcW w:type="dxa" w:w="5500"/>
            <w:vAlign w:val="center"/>
            <w:shd w:fill="F4F7F9"/>
            <w:tcMar>
              <w:top w:w="70" w:type="dxa"/>
              <w:bottom w:w="70" w:type="dxa"/>
              <w:left w:w="100" w:type="dxa"/>
              <w:right w:w="100" w:type="dxa"/>
            </w:tcMar>
          </w:tcPr>
          <w:p>
            <w:pPr>
              <w:spacing w:after="0" w:line="252" w:lineRule="auto"/>
              <w:jc w:val="center"/>
            </w:pPr>
            <w:r>
              <w:rPr>
                <w:b w:val="0"/>
                <w:sz w:val="16"/>
              </w:rPr>
              <w:t>Sensitivity to SPY excess returns</w:t>
            </w:r>
          </w:p>
        </w:tc>
      </w:tr>
    </w:tbl>
    <w:p>
      <w:pPr>
        <w:spacing w:after="0" w:line="180" w:lineRule="exact"/>
      </w:pPr>
      <w:r>
        <w:rPr>
          <w:sz w:val="2"/>
        </w:rPr>
        <w:t xml:space="preserve"> </w:t>
      </w:r>
    </w:p>
    <w:p>
      <w:pPr>
        <w:keepLines/>
      </w:pPr>
      <w:r>
        <w:rPr>
          <w:sz w:val="16"/>
        </w:rPr>
        <w:t>CAPM asset betas and implied returns use training data and lagged DTB3 [5]. KPI definitions, annualization and cost treatment are specified in Methodology.md. A low-volatility result cannot establish income adequacy, crisis protection or a reliable expected alpha.</w:t>
      </w:r>
    </w:p>
    <w:p>
      <w:r>
        <w:br w:type="page"/>
      </w:r>
    </w:p>
    <w:p>
      <w:pPr>
        <w:pStyle w:val="Heading1"/>
        <w:keepLines/>
      </w:pPr>
      <w:r>
        <w:t>05 Daily VaR and Expected Shortfall</w:t>
      </w:r>
    </w:p>
    <w:p>
      <w:pPr>
        <w:keepLines/>
      </w:pPr>
      <w:r>
        <w:t>All models use the same target weights and latest 756-return window, 2023-09-26 to 2026-09-30. Loss is -w'R, reported as a positive loss of NAV. VaR is a quantile. ES = q + mean[(L-q)+]/(1-alpha) measures average severe tail loss and handles finite samples consistently.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1000"/>
        <w:gridCol w:w="1700"/>
        <w:gridCol w:w="1700"/>
        <w:gridCol w:w="2600"/>
      </w:tblGrid>
      <w:tr>
        <w:trPr>
          <w:tblHeader/>
        </w:trPr>
        <w:tc>
          <w:tcPr>
            <w:tcW w:type="dxa" w:w="2500"/>
            <w:vAlign w:val="center"/>
            <w:shd w:fill="E5F1F1"/>
            <w:tcMar>
              <w:top w:w="70" w:type="dxa"/>
              <w:bottom w:w="70" w:type="dxa"/>
              <w:left w:w="100" w:type="dxa"/>
              <w:right w:w="100" w:type="dxa"/>
            </w:tcMar>
          </w:tcPr>
          <w:p>
            <w:pPr>
              <w:spacing w:after="0" w:line="252" w:lineRule="auto"/>
              <w:jc w:val="left"/>
            </w:pPr>
            <w:r>
              <w:rPr>
                <w:b/>
                <w:sz w:val="16"/>
              </w:rPr>
              <w:t>Model</w:t>
            </w:r>
          </w:p>
        </w:tc>
        <w:tc>
          <w:tcPr>
            <w:tcW w:type="dxa" w:w="1000"/>
            <w:vAlign w:val="center"/>
            <w:shd w:fill="E5F1F1"/>
            <w:tcMar>
              <w:top w:w="70" w:type="dxa"/>
              <w:bottom w:w="70" w:type="dxa"/>
              <w:left w:w="100" w:type="dxa"/>
              <w:right w:w="100" w:type="dxa"/>
            </w:tcMar>
          </w:tcPr>
          <w:p>
            <w:pPr>
              <w:spacing w:after="0" w:line="252" w:lineRule="auto"/>
              <w:jc w:val="center"/>
            </w:pPr>
            <w:r>
              <w:rPr>
                <w:b/>
                <w:sz w:val="16"/>
              </w:rPr>
              <w:t>Level</w:t>
            </w:r>
          </w:p>
        </w:tc>
        <w:tc>
          <w:tcPr>
            <w:tcW w:type="dxa" w:w="1700"/>
            <w:vAlign w:val="center"/>
            <w:shd w:fill="E5F1F1"/>
            <w:tcMar>
              <w:top w:w="70" w:type="dxa"/>
              <w:bottom w:w="70" w:type="dxa"/>
              <w:left w:w="100" w:type="dxa"/>
              <w:right w:w="100" w:type="dxa"/>
            </w:tcMar>
          </w:tcPr>
          <w:p>
            <w:pPr>
              <w:spacing w:after="0" w:line="252" w:lineRule="auto"/>
              <w:jc w:val="center"/>
            </w:pPr>
            <w:r>
              <w:rPr>
                <w:b/>
                <w:sz w:val="16"/>
              </w:rPr>
              <w:t>VaR</w:t>
            </w:r>
          </w:p>
        </w:tc>
        <w:tc>
          <w:tcPr>
            <w:tcW w:type="dxa" w:w="1700"/>
            <w:vAlign w:val="center"/>
            <w:shd w:fill="E5F1F1"/>
            <w:tcMar>
              <w:top w:w="70" w:type="dxa"/>
              <w:bottom w:w="70" w:type="dxa"/>
              <w:left w:w="100" w:type="dxa"/>
              <w:right w:w="100" w:type="dxa"/>
            </w:tcMar>
          </w:tcPr>
          <w:p>
            <w:pPr>
              <w:spacing w:after="0" w:line="252" w:lineRule="auto"/>
              <w:jc w:val="center"/>
            </w:pPr>
            <w:r>
              <w:rPr>
                <w:b/>
                <w:sz w:val="16"/>
              </w:rPr>
              <w:t>ES</w:t>
            </w:r>
          </w:p>
        </w:tc>
        <w:tc>
          <w:tcPr>
            <w:tcW w:type="dxa" w:w="2600"/>
            <w:vAlign w:val="center"/>
            <w:shd w:fill="E5F1F1"/>
            <w:tcMar>
              <w:top w:w="70" w:type="dxa"/>
              <w:bottom w:w="70" w:type="dxa"/>
              <w:left w:w="100" w:type="dxa"/>
              <w:right w:w="100" w:type="dxa"/>
            </w:tcMar>
          </w:tcPr>
          <w:p>
            <w:pPr>
              <w:spacing w:after="0" w:line="252" w:lineRule="auto"/>
              <w:jc w:val="center"/>
            </w:pPr>
            <w:r>
              <w:rPr>
                <w:b/>
                <w:sz w:val="16"/>
              </w:rPr>
              <w:t>ES on $10m</w:t>
            </w:r>
          </w:p>
        </w:tc>
      </w:tr>
      <w:tr>
        <w:tc>
          <w:tcPr>
            <w:tcW w:type="dxa" w:w="2500"/>
            <w:vAlign w:val="center"/>
            <w:shd w:fill="FFFFFF"/>
            <w:tcMar>
              <w:top w:w="70" w:type="dxa"/>
              <w:bottom w:w="70" w:type="dxa"/>
              <w:left w:w="100" w:type="dxa"/>
              <w:right w:w="100" w:type="dxa"/>
            </w:tcMar>
          </w:tcPr>
          <w:p>
            <w:pPr>
              <w:spacing w:after="0" w:line="252" w:lineRule="auto"/>
              <w:jc w:val="left"/>
            </w:pPr>
            <w:r>
              <w:rPr>
                <w:b w:val="0"/>
                <w:sz w:val="16"/>
              </w:rPr>
              <w:t>Historical</w:t>
            </w:r>
          </w:p>
        </w:tc>
        <w:tc>
          <w:tcPr>
            <w:tcW w:type="dxa" w:w="1000"/>
            <w:vAlign w:val="center"/>
            <w:shd w:fill="FFFFFF"/>
            <w:tcMar>
              <w:top w:w="70" w:type="dxa"/>
              <w:bottom w:w="70" w:type="dxa"/>
              <w:left w:w="100" w:type="dxa"/>
              <w:right w:w="100" w:type="dxa"/>
            </w:tcMar>
          </w:tcPr>
          <w:p>
            <w:pPr>
              <w:spacing w:after="0" w:line="252" w:lineRule="auto"/>
              <w:jc w:val="center"/>
            </w:pPr>
            <w:r>
              <w:rPr>
                <w:b w:val="0"/>
                <w:sz w:val="16"/>
              </w:rPr>
              <w:t>95%</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0.66%</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0.91%</w:t>
            </w:r>
          </w:p>
        </w:tc>
        <w:tc>
          <w:tcPr>
            <w:tcW w:type="dxa" w:w="2600"/>
            <w:vAlign w:val="center"/>
            <w:shd w:fill="FFFFFF"/>
            <w:tcMar>
              <w:top w:w="70" w:type="dxa"/>
              <w:bottom w:w="70" w:type="dxa"/>
              <w:left w:w="100" w:type="dxa"/>
              <w:right w:w="100" w:type="dxa"/>
            </w:tcMar>
          </w:tcPr>
          <w:p>
            <w:pPr>
              <w:spacing w:after="0" w:line="252" w:lineRule="auto"/>
              <w:jc w:val="center"/>
            </w:pPr>
            <w:r>
              <w:rPr>
                <w:b w:val="0"/>
                <w:sz w:val="16"/>
              </w:rPr>
              <w:t>$90,861</w:t>
            </w:r>
          </w:p>
        </w:tc>
      </w:tr>
      <w:tr>
        <w:tc>
          <w:tcPr>
            <w:tcW w:type="dxa" w:w="2500"/>
            <w:vAlign w:val="center"/>
            <w:shd w:fill="F4F7F9"/>
            <w:tcMar>
              <w:top w:w="70" w:type="dxa"/>
              <w:bottom w:w="70" w:type="dxa"/>
              <w:left w:w="100" w:type="dxa"/>
              <w:right w:w="100" w:type="dxa"/>
            </w:tcMar>
          </w:tcPr>
          <w:p>
            <w:pPr>
              <w:spacing w:after="0" w:line="252" w:lineRule="auto"/>
              <w:jc w:val="left"/>
            </w:pPr>
            <w:r>
              <w:rPr>
                <w:b w:val="0"/>
                <w:sz w:val="16"/>
              </w:rPr>
              <w:t>Parametric</w:t>
            </w:r>
          </w:p>
        </w:tc>
        <w:tc>
          <w:tcPr>
            <w:tcW w:type="dxa" w:w="1000"/>
            <w:vAlign w:val="center"/>
            <w:shd w:fill="F4F7F9"/>
            <w:tcMar>
              <w:top w:w="70" w:type="dxa"/>
              <w:bottom w:w="70" w:type="dxa"/>
              <w:left w:w="100" w:type="dxa"/>
              <w:right w:w="100" w:type="dxa"/>
            </w:tcMar>
          </w:tcPr>
          <w:p>
            <w:pPr>
              <w:spacing w:after="0" w:line="252" w:lineRule="auto"/>
              <w:jc w:val="center"/>
            </w:pPr>
            <w:r>
              <w:rPr>
                <w:b w:val="0"/>
                <w:sz w:val="16"/>
              </w:rPr>
              <w:t>95%</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0.64%</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0.81%</w:t>
            </w:r>
          </w:p>
        </w:tc>
        <w:tc>
          <w:tcPr>
            <w:tcW w:type="dxa" w:w="2600"/>
            <w:vAlign w:val="center"/>
            <w:shd w:fill="F4F7F9"/>
            <w:tcMar>
              <w:top w:w="70" w:type="dxa"/>
              <w:bottom w:w="70" w:type="dxa"/>
              <w:left w:w="100" w:type="dxa"/>
              <w:right w:w="100" w:type="dxa"/>
            </w:tcMar>
          </w:tcPr>
          <w:p>
            <w:pPr>
              <w:spacing w:after="0" w:line="252" w:lineRule="auto"/>
              <w:jc w:val="center"/>
            </w:pPr>
            <w:r>
              <w:rPr>
                <w:b w:val="0"/>
                <w:sz w:val="16"/>
              </w:rPr>
              <w:t>$81,057</w:t>
            </w:r>
          </w:p>
        </w:tc>
      </w:tr>
      <w:tr>
        <w:tc>
          <w:tcPr>
            <w:tcW w:type="dxa" w:w="2500"/>
            <w:vAlign w:val="center"/>
            <w:shd w:fill="FFFFFF"/>
            <w:tcMar>
              <w:top w:w="70" w:type="dxa"/>
              <w:bottom w:w="70" w:type="dxa"/>
              <w:left w:w="100" w:type="dxa"/>
              <w:right w:w="100" w:type="dxa"/>
            </w:tcMar>
          </w:tcPr>
          <w:p>
            <w:pPr>
              <w:spacing w:after="0" w:line="252" w:lineRule="auto"/>
              <w:jc w:val="left"/>
            </w:pPr>
            <w:r>
              <w:rPr>
                <w:b w:val="0"/>
                <w:sz w:val="16"/>
              </w:rPr>
              <w:t>Monte Carlo</w:t>
            </w:r>
          </w:p>
        </w:tc>
        <w:tc>
          <w:tcPr>
            <w:tcW w:type="dxa" w:w="1000"/>
            <w:vAlign w:val="center"/>
            <w:shd w:fill="FFFFFF"/>
            <w:tcMar>
              <w:top w:w="70" w:type="dxa"/>
              <w:bottom w:w="70" w:type="dxa"/>
              <w:left w:w="100" w:type="dxa"/>
              <w:right w:w="100" w:type="dxa"/>
            </w:tcMar>
          </w:tcPr>
          <w:p>
            <w:pPr>
              <w:spacing w:after="0" w:line="252" w:lineRule="auto"/>
              <w:jc w:val="center"/>
            </w:pPr>
            <w:r>
              <w:rPr>
                <w:b w:val="0"/>
                <w:sz w:val="16"/>
              </w:rPr>
              <w:t>95%</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0.63%</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0.80%</w:t>
            </w:r>
          </w:p>
        </w:tc>
        <w:tc>
          <w:tcPr>
            <w:tcW w:type="dxa" w:w="2600"/>
            <w:vAlign w:val="center"/>
            <w:shd w:fill="FFFFFF"/>
            <w:tcMar>
              <w:top w:w="70" w:type="dxa"/>
              <w:bottom w:w="70" w:type="dxa"/>
              <w:left w:w="100" w:type="dxa"/>
              <w:right w:w="100" w:type="dxa"/>
            </w:tcMar>
          </w:tcPr>
          <w:p>
            <w:pPr>
              <w:spacing w:after="0" w:line="252" w:lineRule="auto"/>
              <w:jc w:val="center"/>
            </w:pPr>
            <w:r>
              <w:rPr>
                <w:b w:val="0"/>
                <w:sz w:val="16"/>
              </w:rPr>
              <w:t>$79,891</w:t>
            </w:r>
          </w:p>
        </w:tc>
      </w:tr>
      <w:tr>
        <w:tc>
          <w:tcPr>
            <w:tcW w:type="dxa" w:w="2500"/>
            <w:vAlign w:val="center"/>
            <w:shd w:fill="F4F7F9"/>
            <w:tcMar>
              <w:top w:w="70" w:type="dxa"/>
              <w:bottom w:w="70" w:type="dxa"/>
              <w:left w:w="100" w:type="dxa"/>
              <w:right w:w="100" w:type="dxa"/>
            </w:tcMar>
          </w:tcPr>
          <w:p>
            <w:pPr>
              <w:spacing w:after="0" w:line="252" w:lineRule="auto"/>
              <w:jc w:val="left"/>
            </w:pPr>
            <w:r>
              <w:rPr>
                <w:b w:val="0"/>
                <w:sz w:val="16"/>
              </w:rPr>
              <w:t>Historical</w:t>
            </w:r>
          </w:p>
        </w:tc>
        <w:tc>
          <w:tcPr>
            <w:tcW w:type="dxa" w:w="1000"/>
            <w:vAlign w:val="center"/>
            <w:shd w:fill="F4F7F9"/>
            <w:tcMar>
              <w:top w:w="70" w:type="dxa"/>
              <w:bottom w:w="70" w:type="dxa"/>
              <w:left w:w="100" w:type="dxa"/>
              <w:right w:w="100" w:type="dxa"/>
            </w:tcMar>
          </w:tcPr>
          <w:p>
            <w:pPr>
              <w:spacing w:after="0" w:line="252" w:lineRule="auto"/>
              <w:jc w:val="center"/>
            </w:pPr>
            <w:r>
              <w:rPr>
                <w:b w:val="0"/>
                <w:sz w:val="16"/>
              </w:rPr>
              <w:t>99%</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1.11%</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1.31%</w:t>
            </w:r>
          </w:p>
        </w:tc>
        <w:tc>
          <w:tcPr>
            <w:tcW w:type="dxa" w:w="2600"/>
            <w:vAlign w:val="center"/>
            <w:shd w:fill="F4F7F9"/>
            <w:tcMar>
              <w:top w:w="70" w:type="dxa"/>
              <w:bottom w:w="70" w:type="dxa"/>
              <w:left w:w="100" w:type="dxa"/>
              <w:right w:w="100" w:type="dxa"/>
            </w:tcMar>
          </w:tcPr>
          <w:p>
            <w:pPr>
              <w:spacing w:after="0" w:line="252" w:lineRule="auto"/>
              <w:jc w:val="center"/>
            </w:pPr>
            <w:r>
              <w:rPr>
                <w:b w:val="0"/>
                <w:sz w:val="16"/>
              </w:rPr>
              <w:t>$131,011</w:t>
            </w:r>
          </w:p>
        </w:tc>
      </w:tr>
      <w:tr>
        <w:tc>
          <w:tcPr>
            <w:tcW w:type="dxa" w:w="2500"/>
            <w:vAlign w:val="center"/>
            <w:shd w:fill="FFFFFF"/>
            <w:tcMar>
              <w:top w:w="70" w:type="dxa"/>
              <w:bottom w:w="70" w:type="dxa"/>
              <w:left w:w="100" w:type="dxa"/>
              <w:right w:w="100" w:type="dxa"/>
            </w:tcMar>
          </w:tcPr>
          <w:p>
            <w:pPr>
              <w:spacing w:after="0" w:line="252" w:lineRule="auto"/>
              <w:jc w:val="left"/>
            </w:pPr>
            <w:r>
              <w:rPr>
                <w:b w:val="0"/>
                <w:sz w:val="16"/>
              </w:rPr>
              <w:t>Parametric</w:t>
            </w:r>
          </w:p>
        </w:tc>
        <w:tc>
          <w:tcPr>
            <w:tcW w:type="dxa" w:w="1000"/>
            <w:vAlign w:val="center"/>
            <w:shd w:fill="FFFFFF"/>
            <w:tcMar>
              <w:top w:w="70" w:type="dxa"/>
              <w:bottom w:w="70" w:type="dxa"/>
              <w:left w:w="100" w:type="dxa"/>
              <w:right w:w="100" w:type="dxa"/>
            </w:tcMar>
          </w:tcPr>
          <w:p>
            <w:pPr>
              <w:spacing w:after="0" w:line="252" w:lineRule="auto"/>
              <w:jc w:val="center"/>
            </w:pPr>
            <w:r>
              <w:rPr>
                <w:b w:val="0"/>
                <w:sz w:val="16"/>
              </w:rPr>
              <w:t>99%</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0.92%</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1.06%</w:t>
            </w:r>
          </w:p>
        </w:tc>
        <w:tc>
          <w:tcPr>
            <w:tcW w:type="dxa" w:w="2600"/>
            <w:vAlign w:val="center"/>
            <w:shd w:fill="FFFFFF"/>
            <w:tcMar>
              <w:top w:w="70" w:type="dxa"/>
              <w:bottom w:w="70" w:type="dxa"/>
              <w:left w:w="100" w:type="dxa"/>
              <w:right w:w="100" w:type="dxa"/>
            </w:tcMar>
          </w:tcPr>
          <w:p>
            <w:pPr>
              <w:spacing w:after="0" w:line="252" w:lineRule="auto"/>
              <w:jc w:val="center"/>
            </w:pPr>
            <w:r>
              <w:rPr>
                <w:b w:val="0"/>
                <w:sz w:val="16"/>
              </w:rPr>
              <w:t>$105,829</w:t>
            </w:r>
          </w:p>
        </w:tc>
      </w:tr>
      <w:tr>
        <w:tc>
          <w:tcPr>
            <w:tcW w:type="dxa" w:w="2500"/>
            <w:vAlign w:val="center"/>
            <w:shd w:fill="F4F7F9"/>
            <w:tcMar>
              <w:top w:w="70" w:type="dxa"/>
              <w:bottom w:w="70" w:type="dxa"/>
              <w:left w:w="100" w:type="dxa"/>
              <w:right w:w="100" w:type="dxa"/>
            </w:tcMar>
          </w:tcPr>
          <w:p>
            <w:pPr>
              <w:spacing w:after="0" w:line="252" w:lineRule="auto"/>
              <w:jc w:val="left"/>
            </w:pPr>
            <w:r>
              <w:rPr>
                <w:b w:val="0"/>
                <w:sz w:val="16"/>
              </w:rPr>
              <w:t>Monte Carlo</w:t>
            </w:r>
          </w:p>
        </w:tc>
        <w:tc>
          <w:tcPr>
            <w:tcW w:type="dxa" w:w="1000"/>
            <w:vAlign w:val="center"/>
            <w:shd w:fill="F4F7F9"/>
            <w:tcMar>
              <w:top w:w="70" w:type="dxa"/>
              <w:bottom w:w="70" w:type="dxa"/>
              <w:left w:w="100" w:type="dxa"/>
              <w:right w:w="100" w:type="dxa"/>
            </w:tcMar>
          </w:tcPr>
          <w:p>
            <w:pPr>
              <w:spacing w:after="0" w:line="252" w:lineRule="auto"/>
              <w:jc w:val="center"/>
            </w:pPr>
            <w:r>
              <w:rPr>
                <w:b w:val="0"/>
                <w:sz w:val="16"/>
              </w:rPr>
              <w:t>99%</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0.90%</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1.04%</w:t>
            </w:r>
          </w:p>
        </w:tc>
        <w:tc>
          <w:tcPr>
            <w:tcW w:type="dxa" w:w="2600"/>
            <w:vAlign w:val="center"/>
            <w:shd w:fill="F4F7F9"/>
            <w:tcMar>
              <w:top w:w="70" w:type="dxa"/>
              <w:bottom w:w="70" w:type="dxa"/>
              <w:left w:w="100" w:type="dxa"/>
              <w:right w:w="100" w:type="dxa"/>
            </w:tcMar>
          </w:tcPr>
          <w:p>
            <w:pPr>
              <w:spacing w:after="0" w:line="252" w:lineRule="auto"/>
              <w:jc w:val="center"/>
            </w:pPr>
            <w:r>
              <w:rPr>
                <w:b w:val="0"/>
                <w:sz w:val="16"/>
              </w:rPr>
              <w:t>$104,450</w:t>
            </w:r>
          </w:p>
        </w:tc>
      </w:tr>
      <w:tr>
        <w:tc>
          <w:tcPr>
            <w:tcW w:type="dxa" w:w="2500"/>
            <w:vAlign w:val="center"/>
            <w:shd w:fill="FFFFFF"/>
            <w:tcMar>
              <w:top w:w="70" w:type="dxa"/>
              <w:bottom w:w="70" w:type="dxa"/>
              <w:left w:w="100" w:type="dxa"/>
              <w:right w:w="100" w:type="dxa"/>
            </w:tcMar>
          </w:tcPr>
          <w:p>
            <w:pPr>
              <w:spacing w:after="0" w:line="252" w:lineRule="auto"/>
              <w:jc w:val="left"/>
            </w:pPr>
            <w:r>
              <w:rPr>
                <w:b w:val="0"/>
                <w:sz w:val="16"/>
              </w:rPr>
              <w:t>EVT</w:t>
            </w:r>
          </w:p>
        </w:tc>
        <w:tc>
          <w:tcPr>
            <w:tcW w:type="dxa" w:w="1000"/>
            <w:vAlign w:val="center"/>
            <w:shd w:fill="FFFFFF"/>
            <w:tcMar>
              <w:top w:w="70" w:type="dxa"/>
              <w:bottom w:w="70" w:type="dxa"/>
              <w:left w:w="100" w:type="dxa"/>
              <w:right w:w="100" w:type="dxa"/>
            </w:tcMar>
          </w:tcPr>
          <w:p>
            <w:pPr>
              <w:spacing w:after="0" w:line="252" w:lineRule="auto"/>
              <w:jc w:val="center"/>
            </w:pPr>
            <w:r>
              <w:rPr>
                <w:b w:val="0"/>
                <w:sz w:val="16"/>
              </w:rPr>
              <w:t>95%</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0.66%</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0.91%</w:t>
            </w:r>
          </w:p>
        </w:tc>
        <w:tc>
          <w:tcPr>
            <w:tcW w:type="dxa" w:w="2600"/>
            <w:vAlign w:val="center"/>
            <w:shd w:fill="FFFFFF"/>
            <w:tcMar>
              <w:top w:w="70" w:type="dxa"/>
              <w:bottom w:w="70" w:type="dxa"/>
              <w:left w:w="100" w:type="dxa"/>
              <w:right w:w="100" w:type="dxa"/>
            </w:tcMar>
          </w:tcPr>
          <w:p>
            <w:pPr>
              <w:spacing w:after="0" w:line="252" w:lineRule="auto"/>
              <w:jc w:val="center"/>
            </w:pPr>
            <w:r>
              <w:rPr>
                <w:b w:val="0"/>
                <w:sz w:val="16"/>
              </w:rPr>
              <w:t>$91,376</w:t>
            </w:r>
          </w:p>
        </w:tc>
      </w:tr>
      <w:tr>
        <w:tc>
          <w:tcPr>
            <w:tcW w:type="dxa" w:w="2500"/>
            <w:vAlign w:val="center"/>
            <w:shd w:fill="F4F7F9"/>
            <w:tcMar>
              <w:top w:w="70" w:type="dxa"/>
              <w:bottom w:w="70" w:type="dxa"/>
              <w:left w:w="100" w:type="dxa"/>
              <w:right w:w="100" w:type="dxa"/>
            </w:tcMar>
          </w:tcPr>
          <w:p>
            <w:pPr>
              <w:spacing w:after="0" w:line="252" w:lineRule="auto"/>
              <w:jc w:val="left"/>
            </w:pPr>
            <w:r>
              <w:rPr>
                <w:b w:val="0"/>
                <w:sz w:val="16"/>
              </w:rPr>
              <w:t>EVT</w:t>
            </w:r>
          </w:p>
        </w:tc>
        <w:tc>
          <w:tcPr>
            <w:tcW w:type="dxa" w:w="1000"/>
            <w:vAlign w:val="center"/>
            <w:shd w:fill="F4F7F9"/>
            <w:tcMar>
              <w:top w:w="70" w:type="dxa"/>
              <w:bottom w:w="70" w:type="dxa"/>
              <w:left w:w="100" w:type="dxa"/>
              <w:right w:w="100" w:type="dxa"/>
            </w:tcMar>
          </w:tcPr>
          <w:p>
            <w:pPr>
              <w:spacing w:after="0" w:line="252" w:lineRule="auto"/>
              <w:jc w:val="center"/>
            </w:pPr>
            <w:r>
              <w:rPr>
                <w:b w:val="0"/>
                <w:sz w:val="16"/>
              </w:rPr>
              <w:t>99%</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1.08%</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1.27%</w:t>
            </w:r>
          </w:p>
        </w:tc>
        <w:tc>
          <w:tcPr>
            <w:tcW w:type="dxa" w:w="2600"/>
            <w:vAlign w:val="center"/>
            <w:shd w:fill="F4F7F9"/>
            <w:tcMar>
              <w:top w:w="70" w:type="dxa"/>
              <w:bottom w:w="70" w:type="dxa"/>
              <w:left w:w="100" w:type="dxa"/>
              <w:right w:w="100" w:type="dxa"/>
            </w:tcMar>
          </w:tcPr>
          <w:p>
            <w:pPr>
              <w:spacing w:after="0" w:line="252" w:lineRule="auto"/>
              <w:jc w:val="center"/>
            </w:pPr>
            <w:r>
              <w:rPr>
                <w:b w:val="0"/>
                <w:sz w:val="16"/>
              </w:rPr>
              <w:t>$127,098</w:t>
            </w:r>
          </w:p>
        </w:tc>
      </w:tr>
    </w:tbl>
    <w:p>
      <w:pPr>
        <w:spacing w:after="0" w:line="180" w:lineRule="exact"/>
      </w:pPr>
      <w:r>
        <w:rPr>
          <w:sz w:val="2"/>
        </w:rPr>
        <w:t xml:space="preserve"> </w:t>
      </w:r>
    </w:p>
    <w:p>
      <w:pPr>
        <w:spacing w:after="80"/>
      </w:pPr>
      <w:r>
        <w:drawing>
          <wp:inline xmlns:a="http://schemas.openxmlformats.org/drawingml/2006/main" xmlns:pic="http://schemas.openxmlformats.org/drawingml/2006/picture">
            <wp:extent cx="6032500" cy="2308835"/>
            <wp:docPr id="3" name="Picture 3"/>
            <wp:cNvGraphicFramePr>
              <a:graphicFrameLocks noChangeAspect="1"/>
            </wp:cNvGraphicFramePr>
            <a:graphic>
              <a:graphicData uri="http://schemas.openxmlformats.org/drawingml/2006/picture">
                <pic:pic>
                  <pic:nvPicPr>
                    <pic:cNvPr id="0" name="risk.png"/>
                    <pic:cNvPicPr/>
                  </pic:nvPicPr>
                  <pic:blipFill>
                    <a:blip r:embed="rId12"/>
                    <a:stretch>
                      <a:fillRect/>
                    </a:stretch>
                  </pic:blipFill>
                  <pic:spPr>
                    <a:xfrm>
                      <a:off x="0" y="0"/>
                      <a:ext cx="6032500" cy="2308835"/>
                    </a:xfrm>
                    <a:prstGeom prst="rect"/>
                  </pic:spPr>
                </pic:pic>
              </a:graphicData>
            </a:graphic>
          </wp:inline>
        </w:drawing>
      </w:r>
    </w:p>
    <w:p>
      <w:pPr>
        <w:keepLines/>
      </w:pPr>
      <w:r>
        <w:rPr>
          <w:sz w:val="16"/>
        </w:rPr>
        <w:t>Figure 3. Matching horizon and confidence makes model disagreement interpretable. Dollar amounts scale the one-day fractional loss by constant reference NAV.</w:t>
      </w:r>
    </w:p>
    <w:p>
      <w:pPr>
        <w:keepLines/>
      </w:pPr>
      <w:r>
        <w:t>Historical simulation retains observed tails. Parametric risk fits a normal portfolio log return and integrates its lognormal tail exactly. Monte Carlo fits a multivariate normal to asset log returns, uses 5% diagonal covariance shrinkage, and aggregates simulated simple returns. Both Gaussian approaches can understate heavy tails. Their difference also reflects covariance treatment and nonlinear aggregation, not independent confirmation.</w:t>
      </w:r>
    </w:p>
    <w:p>
      <w:pPr>
        <w:keepLines/>
      </w:pPr>
      <w:r>
        <w:rPr>
          <w:sz w:val="16"/>
        </w:rPr>
        <w:t>Snapshot simulation uses 20261024 as seed and 50,000 draws; rolling forecasts use 10,000. The ES99 Monte Carlo batch standard error is 0.01% of NAV. The exported convergence table separates simulation stability from data/model uncertainty.</w:t>
      </w:r>
    </w:p>
    <w:p>
      <w:r>
        <w:br w:type="page"/>
      </w:r>
    </w:p>
    <w:p>
      <w:pPr>
        <w:pStyle w:val="Heading1"/>
        <w:keepLines/>
      </w:pPr>
      <w:r>
        <w:t>06 EVT and tail stability</w:t>
      </w:r>
    </w:p>
    <w:p>
      <w:pPr>
        <w:keepLines/>
      </w:pPr>
      <w:r>
        <w:t>Peaks over threshold fits a GPD to losses above the 90th percentile: 0.43%. The latest window gives 76 exceedances. The rule is fixed before test evaluation to balance tail focus against small-sample estimation; it is not claimed to be optimal. The laboratory exposes thresholds from 85% to 95% [9,10].</w:t>
      </w:r>
    </w:p>
    <w:p>
      <w:pPr>
        <w:keepLines/>
      </w:pPr>
      <w:r>
        <w:t>For p = 1-alpha, VaR = u + beta/xi[(p_u/p)^xi - 1], with a logarithmic limit at xi = 0. ES = (VaR + beta - xi*u)/(1-xi), available only when xi &lt; 1. Estimates require at least 40 exceedances and confidence above the fitting threshold. At 90% confidence the app therefore reports EVT as unavailable.</w:t>
      </w:r>
    </w:p>
    <w:p>
      <w:pPr>
        <w:spacing w:after="80"/>
      </w:pPr>
      <w:r>
        <w:drawing>
          <wp:inline xmlns:a="http://schemas.openxmlformats.org/drawingml/2006/main" xmlns:pic="http://schemas.openxmlformats.org/drawingml/2006/picture">
            <wp:extent cx="6032500" cy="2173504"/>
            <wp:docPr id="4" name="Picture 4"/>
            <wp:cNvGraphicFramePr>
              <a:graphicFrameLocks noChangeAspect="1"/>
            </wp:cNvGraphicFramePr>
            <a:graphic>
              <a:graphicData uri="http://schemas.openxmlformats.org/drawingml/2006/picture">
                <pic:pic>
                  <pic:nvPicPr>
                    <pic:cNvPr id="0" name="evt.png"/>
                    <pic:cNvPicPr/>
                  </pic:nvPicPr>
                  <pic:blipFill>
                    <a:blip r:embed="rId13"/>
                    <a:stretch>
                      <a:fillRect/>
                    </a:stretch>
                  </pic:blipFill>
                  <pic:spPr>
                    <a:xfrm>
                      <a:off x="0" y="0"/>
                      <a:ext cx="6032500" cy="2173504"/>
                    </a:xfrm>
                    <a:prstGeom prst="rect"/>
                  </pic:spPr>
                </pic:pic>
              </a:graphicData>
            </a:graphic>
          </wp:inline>
        </w:drawing>
      </w:r>
    </w:p>
    <w:p>
      <w:pPr>
        <w:keepLines/>
      </w:pPr>
      <w:r>
        <w:rPr>
          <w:sz w:val="16"/>
        </w:rPr>
        <w:t>Figure 4. Threshold changes alter both the tail sample and the fitted shape. A stable-looking line is not a formal proof that GPD asymptotics apply.</w:t>
      </w:r>
    </w:p>
    <w:p>
      <w:pPr>
        <w:keepLines/>
      </w:pPr>
      <w:r>
        <w:t>The fitted shape is -0.189. Its 95% block-bootstrap interval is [-0.454, 0.090], spanning zero. EVT ES99 is 1.27%; the interval is [1.08%, 1.39%]. The negative point estimate must not be interpreted as a dependable maximum possible market loss.</w:t>
      </w:r>
    </w:p>
    <w:p>
      <w:pPr>
        <w:keepLines/>
      </w:pPr>
      <w:r>
        <w:rPr>
          <w:sz w:val="16"/>
        </w:rPr>
        <w:t>150 of 150 circular 20-day block resamples produced valid finite-ES fits. Each refits the threshold and parameters. Serial clustering, model misspecification and a limited tail sample remain; these intervals do not guarantee their nominal coverage. Sensitivity tables and interactive Q-Q diagnostics are supplied.</w:t>
      </w:r>
    </w:p>
    <w:p>
      <w:r>
        <w:br w:type="page"/>
      </w:r>
    </w:p>
    <w:p>
      <w:pPr>
        <w:pStyle w:val="Heading1"/>
        <w:keepLines/>
      </w:pPr>
      <w:r>
        <w:t>07 Rolling out of sample validation</w:t>
      </w:r>
    </w:p>
    <w:p>
      <w:pPr>
        <w:keepLines/>
      </w:pPr>
      <w:r>
        <w:t>Each forecast date uses exactly the preceding 756 returns, ending strictly before that date. Portfolio weights remain fixed from the allocation training period. This is genuine one-step historical forecasting within a retrospective study. Kupiec tests hit frequency; Christoffersen tests first-order hit independence; their likelihood ratios combine into conditional coverage [6,7].</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1700"/>
        <w:gridCol w:w="1400"/>
        <w:gridCol w:w="1400"/>
        <w:gridCol w:w="1300"/>
        <w:gridCol w:w="1500"/>
      </w:tblGrid>
      <w:tr>
        <w:trPr>
          <w:tblHeader/>
        </w:trPr>
        <w:tc>
          <w:tcPr>
            <w:tcW w:type="dxa" w:w="2200"/>
            <w:vAlign w:val="center"/>
            <w:shd w:fill="E5F1F1"/>
            <w:tcMar>
              <w:top w:w="70" w:type="dxa"/>
              <w:bottom w:w="70" w:type="dxa"/>
              <w:left w:w="100" w:type="dxa"/>
              <w:right w:w="100" w:type="dxa"/>
            </w:tcMar>
          </w:tcPr>
          <w:p>
            <w:pPr>
              <w:spacing w:after="0" w:line="252" w:lineRule="auto"/>
              <w:jc w:val="left"/>
            </w:pPr>
            <w:r>
              <w:rPr>
                <w:b/>
                <w:sz w:val="16"/>
              </w:rPr>
              <w:t>99% model</w:t>
            </w:r>
          </w:p>
        </w:tc>
        <w:tc>
          <w:tcPr>
            <w:tcW w:type="dxa" w:w="1700"/>
            <w:vAlign w:val="center"/>
            <w:shd w:fill="E5F1F1"/>
            <w:tcMar>
              <w:top w:w="70" w:type="dxa"/>
              <w:bottom w:w="70" w:type="dxa"/>
              <w:left w:w="100" w:type="dxa"/>
              <w:right w:w="100" w:type="dxa"/>
            </w:tcMar>
          </w:tcPr>
          <w:p>
            <w:pPr>
              <w:spacing w:after="0" w:line="252" w:lineRule="auto"/>
              <w:jc w:val="center"/>
            </w:pPr>
            <w:r>
              <w:rPr>
                <w:b/>
                <w:sz w:val="16"/>
              </w:rPr>
              <w:t>Hits / expected</w:t>
            </w:r>
          </w:p>
        </w:tc>
        <w:tc>
          <w:tcPr>
            <w:tcW w:type="dxa" w:w="1400"/>
            <w:vAlign w:val="center"/>
            <w:shd w:fill="E5F1F1"/>
            <w:tcMar>
              <w:top w:w="70" w:type="dxa"/>
              <w:bottom w:w="70" w:type="dxa"/>
              <w:left w:w="100" w:type="dxa"/>
              <w:right w:w="100" w:type="dxa"/>
            </w:tcMar>
          </w:tcPr>
          <w:p>
            <w:pPr>
              <w:spacing w:after="0" w:line="252" w:lineRule="auto"/>
              <w:jc w:val="center"/>
            </w:pPr>
            <w:r>
              <w:rPr>
                <w:b/>
                <w:sz w:val="16"/>
              </w:rPr>
              <w:t>Kupiec p</w:t>
            </w:r>
          </w:p>
        </w:tc>
        <w:tc>
          <w:tcPr>
            <w:tcW w:type="dxa" w:w="1400"/>
            <w:vAlign w:val="center"/>
            <w:shd w:fill="E5F1F1"/>
            <w:tcMar>
              <w:top w:w="70" w:type="dxa"/>
              <w:bottom w:w="70" w:type="dxa"/>
              <w:left w:w="100" w:type="dxa"/>
              <w:right w:w="100" w:type="dxa"/>
            </w:tcMar>
          </w:tcPr>
          <w:p>
            <w:pPr>
              <w:spacing w:after="0" w:line="252" w:lineRule="auto"/>
              <w:jc w:val="center"/>
            </w:pPr>
            <w:r>
              <w:rPr>
                <w:b/>
                <w:sz w:val="16"/>
              </w:rPr>
              <w:t>Indep. p</w:t>
            </w:r>
          </w:p>
        </w:tc>
        <w:tc>
          <w:tcPr>
            <w:tcW w:type="dxa" w:w="1300"/>
            <w:vAlign w:val="center"/>
            <w:shd w:fill="E5F1F1"/>
            <w:tcMar>
              <w:top w:w="70" w:type="dxa"/>
              <w:bottom w:w="70" w:type="dxa"/>
              <w:left w:w="100" w:type="dxa"/>
              <w:right w:w="100" w:type="dxa"/>
            </w:tcMar>
          </w:tcPr>
          <w:p>
            <w:pPr>
              <w:spacing w:after="0" w:line="252" w:lineRule="auto"/>
              <w:jc w:val="center"/>
            </w:pPr>
            <w:r>
              <w:rPr>
                <w:b/>
                <w:sz w:val="16"/>
              </w:rPr>
              <w:t>CC p</w:t>
            </w:r>
          </w:p>
        </w:tc>
        <w:tc>
          <w:tcPr>
            <w:tcW w:type="dxa" w:w="1500"/>
            <w:vAlign w:val="center"/>
            <w:shd w:fill="E5F1F1"/>
            <w:tcMar>
              <w:top w:w="70" w:type="dxa"/>
              <w:bottom w:w="70" w:type="dxa"/>
              <w:left w:w="100" w:type="dxa"/>
              <w:right w:w="100" w:type="dxa"/>
            </w:tcMar>
          </w:tcPr>
          <w:p>
            <w:pPr>
              <w:spacing w:after="0" w:line="252" w:lineRule="auto"/>
              <w:jc w:val="center"/>
            </w:pPr>
            <w:r>
              <w:rPr>
                <w:b/>
                <w:sz w:val="16"/>
              </w:rPr>
              <w:t>Last 250</w:t>
            </w:r>
          </w:p>
        </w:tc>
      </w:tr>
      <w:tr>
        <w:tc>
          <w:tcPr>
            <w:tcW w:type="dxa" w:w="2200"/>
            <w:vAlign w:val="center"/>
            <w:shd w:fill="FFFFFF"/>
            <w:tcMar>
              <w:top w:w="70" w:type="dxa"/>
              <w:bottom w:w="70" w:type="dxa"/>
              <w:left w:w="100" w:type="dxa"/>
              <w:right w:w="100" w:type="dxa"/>
            </w:tcMar>
          </w:tcPr>
          <w:p>
            <w:pPr>
              <w:spacing w:after="0" w:line="252" w:lineRule="auto"/>
              <w:jc w:val="left"/>
            </w:pPr>
            <w:r>
              <w:rPr>
                <w:b w:val="0"/>
                <w:sz w:val="16"/>
              </w:rPr>
              <w:t>EVT</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6 / 9.39</w:t>
            </w:r>
          </w:p>
        </w:tc>
        <w:tc>
          <w:tcPr>
            <w:tcW w:type="dxa" w:w="1400"/>
            <w:vAlign w:val="center"/>
            <w:shd w:fill="FFFFFF"/>
            <w:tcMar>
              <w:top w:w="70" w:type="dxa"/>
              <w:bottom w:w="70" w:type="dxa"/>
              <w:left w:w="100" w:type="dxa"/>
              <w:right w:w="100" w:type="dxa"/>
            </w:tcMar>
          </w:tcPr>
          <w:p>
            <w:pPr>
              <w:spacing w:after="0" w:line="252" w:lineRule="auto"/>
              <w:jc w:val="center"/>
            </w:pPr>
            <w:r>
              <w:rPr>
                <w:b w:val="0"/>
                <w:sz w:val="16"/>
              </w:rPr>
              <w:t>0.234</w:t>
            </w:r>
          </w:p>
        </w:tc>
        <w:tc>
          <w:tcPr>
            <w:tcW w:type="dxa" w:w="1400"/>
            <w:vAlign w:val="center"/>
            <w:shd w:fill="FFFFFF"/>
            <w:tcMar>
              <w:top w:w="70" w:type="dxa"/>
              <w:bottom w:w="70" w:type="dxa"/>
              <w:left w:w="100" w:type="dxa"/>
              <w:right w:w="100" w:type="dxa"/>
            </w:tcMar>
          </w:tcPr>
          <w:p>
            <w:pPr>
              <w:spacing w:after="0" w:line="252" w:lineRule="auto"/>
              <w:jc w:val="center"/>
            </w:pPr>
            <w:r>
              <w:rPr>
                <w:b w:val="0"/>
                <w:sz w:val="16"/>
              </w:rPr>
              <w:t>0.781</w:t>
            </w:r>
          </w:p>
        </w:tc>
        <w:tc>
          <w:tcPr>
            <w:tcW w:type="dxa" w:w="1300"/>
            <w:vAlign w:val="center"/>
            <w:shd w:fill="FFFFFF"/>
            <w:tcMar>
              <w:top w:w="70" w:type="dxa"/>
              <w:bottom w:w="70" w:type="dxa"/>
              <w:left w:w="100" w:type="dxa"/>
              <w:right w:w="100" w:type="dxa"/>
            </w:tcMar>
          </w:tcPr>
          <w:p>
            <w:pPr>
              <w:spacing w:after="0" w:line="252" w:lineRule="auto"/>
              <w:jc w:val="center"/>
            </w:pPr>
            <w:r>
              <w:rPr>
                <w:b w:val="0"/>
                <w:sz w:val="16"/>
              </w:rPr>
              <w:t>0.474</w:t>
            </w:r>
          </w:p>
        </w:tc>
        <w:tc>
          <w:tcPr>
            <w:tcW w:type="dxa" w:w="1500"/>
            <w:vAlign w:val="center"/>
            <w:shd w:fill="FFFFFF"/>
            <w:tcMar>
              <w:top w:w="70" w:type="dxa"/>
              <w:bottom w:w="70" w:type="dxa"/>
              <w:left w:w="100" w:type="dxa"/>
              <w:right w:w="100" w:type="dxa"/>
            </w:tcMar>
          </w:tcPr>
          <w:p>
            <w:pPr>
              <w:spacing w:after="0" w:line="252" w:lineRule="auto"/>
              <w:jc w:val="center"/>
            </w:pPr>
            <w:r>
              <w:rPr>
                <w:b w:val="0"/>
                <w:sz w:val="16"/>
              </w:rPr>
              <w:t>Green</w:t>
            </w:r>
          </w:p>
        </w:tc>
      </w:tr>
      <w:tr>
        <w:tc>
          <w:tcPr>
            <w:tcW w:type="dxa" w:w="2200"/>
            <w:vAlign w:val="center"/>
            <w:shd w:fill="F4F7F9"/>
            <w:tcMar>
              <w:top w:w="70" w:type="dxa"/>
              <w:bottom w:w="70" w:type="dxa"/>
              <w:left w:w="100" w:type="dxa"/>
              <w:right w:w="100" w:type="dxa"/>
            </w:tcMar>
          </w:tcPr>
          <w:p>
            <w:pPr>
              <w:spacing w:after="0" w:line="252" w:lineRule="auto"/>
              <w:jc w:val="left"/>
            </w:pPr>
            <w:r>
              <w:rPr>
                <w:b w:val="0"/>
                <w:sz w:val="16"/>
              </w:rPr>
              <w:t>Historical</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8 / 9.39</w:t>
            </w:r>
          </w:p>
        </w:tc>
        <w:tc>
          <w:tcPr>
            <w:tcW w:type="dxa" w:w="1400"/>
            <w:vAlign w:val="center"/>
            <w:shd w:fill="F4F7F9"/>
            <w:tcMar>
              <w:top w:w="70" w:type="dxa"/>
              <w:bottom w:w="70" w:type="dxa"/>
              <w:left w:w="100" w:type="dxa"/>
              <w:right w:w="100" w:type="dxa"/>
            </w:tcMar>
          </w:tcPr>
          <w:p>
            <w:pPr>
              <w:spacing w:after="0" w:line="252" w:lineRule="auto"/>
              <w:jc w:val="center"/>
            </w:pPr>
            <w:r>
              <w:rPr>
                <w:b w:val="0"/>
                <w:sz w:val="16"/>
              </w:rPr>
              <w:t>0.640</w:t>
            </w:r>
          </w:p>
        </w:tc>
        <w:tc>
          <w:tcPr>
            <w:tcW w:type="dxa" w:w="1400"/>
            <w:vAlign w:val="center"/>
            <w:shd w:fill="F4F7F9"/>
            <w:tcMar>
              <w:top w:w="70" w:type="dxa"/>
              <w:bottom w:w="70" w:type="dxa"/>
              <w:left w:w="100" w:type="dxa"/>
              <w:right w:w="100" w:type="dxa"/>
            </w:tcMar>
          </w:tcPr>
          <w:p>
            <w:pPr>
              <w:spacing w:after="0" w:line="252" w:lineRule="auto"/>
              <w:jc w:val="center"/>
            </w:pPr>
            <w:r>
              <w:rPr>
                <w:b w:val="0"/>
                <w:sz w:val="16"/>
              </w:rPr>
              <w:t>0.711</w:t>
            </w:r>
          </w:p>
        </w:tc>
        <w:tc>
          <w:tcPr>
            <w:tcW w:type="dxa" w:w="1300"/>
            <w:vAlign w:val="center"/>
            <w:shd w:fill="F4F7F9"/>
            <w:tcMar>
              <w:top w:w="70" w:type="dxa"/>
              <w:bottom w:w="70" w:type="dxa"/>
              <w:left w:w="100" w:type="dxa"/>
              <w:right w:w="100" w:type="dxa"/>
            </w:tcMar>
          </w:tcPr>
          <w:p>
            <w:pPr>
              <w:spacing w:after="0" w:line="252" w:lineRule="auto"/>
              <w:jc w:val="center"/>
            </w:pPr>
            <w:r>
              <w:rPr>
                <w:b w:val="0"/>
                <w:sz w:val="16"/>
              </w:rPr>
              <w:t>0.837</w:t>
            </w:r>
          </w:p>
        </w:tc>
        <w:tc>
          <w:tcPr>
            <w:tcW w:type="dxa" w:w="1500"/>
            <w:vAlign w:val="center"/>
            <w:shd w:fill="F4F7F9"/>
            <w:tcMar>
              <w:top w:w="70" w:type="dxa"/>
              <w:bottom w:w="70" w:type="dxa"/>
              <w:left w:w="100" w:type="dxa"/>
              <w:right w:w="100" w:type="dxa"/>
            </w:tcMar>
          </w:tcPr>
          <w:p>
            <w:pPr>
              <w:spacing w:after="0" w:line="252" w:lineRule="auto"/>
              <w:jc w:val="center"/>
            </w:pPr>
            <w:r>
              <w:rPr>
                <w:b w:val="0"/>
                <w:sz w:val="16"/>
              </w:rPr>
              <w:t>Green</w:t>
            </w:r>
          </w:p>
        </w:tc>
      </w:tr>
      <w:tr>
        <w:tc>
          <w:tcPr>
            <w:tcW w:type="dxa" w:w="2200"/>
            <w:vAlign w:val="center"/>
            <w:shd w:fill="FFFFFF"/>
            <w:tcMar>
              <w:top w:w="70" w:type="dxa"/>
              <w:bottom w:w="70" w:type="dxa"/>
              <w:left w:w="100" w:type="dxa"/>
              <w:right w:w="100" w:type="dxa"/>
            </w:tcMar>
          </w:tcPr>
          <w:p>
            <w:pPr>
              <w:spacing w:after="0" w:line="252" w:lineRule="auto"/>
              <w:jc w:val="left"/>
            </w:pPr>
            <w:r>
              <w:rPr>
                <w:b w:val="0"/>
                <w:sz w:val="16"/>
              </w:rPr>
              <w:t>Monte Carlo</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13 / 9.39</w:t>
            </w:r>
          </w:p>
        </w:tc>
        <w:tc>
          <w:tcPr>
            <w:tcW w:type="dxa" w:w="1400"/>
            <w:vAlign w:val="center"/>
            <w:shd w:fill="FFFFFF"/>
            <w:tcMar>
              <w:top w:w="70" w:type="dxa"/>
              <w:bottom w:w="70" w:type="dxa"/>
              <w:left w:w="100" w:type="dxa"/>
              <w:right w:w="100" w:type="dxa"/>
            </w:tcMar>
          </w:tcPr>
          <w:p>
            <w:pPr>
              <w:spacing w:after="0" w:line="252" w:lineRule="auto"/>
              <w:jc w:val="center"/>
            </w:pPr>
            <w:r>
              <w:rPr>
                <w:b w:val="0"/>
                <w:sz w:val="16"/>
              </w:rPr>
              <w:t>0.263</w:t>
            </w:r>
          </w:p>
        </w:tc>
        <w:tc>
          <w:tcPr>
            <w:tcW w:type="dxa" w:w="1400"/>
            <w:vAlign w:val="center"/>
            <w:shd w:fill="FFFFFF"/>
            <w:tcMar>
              <w:top w:w="70" w:type="dxa"/>
              <w:bottom w:w="70" w:type="dxa"/>
              <w:left w:w="100" w:type="dxa"/>
              <w:right w:w="100" w:type="dxa"/>
            </w:tcMar>
          </w:tcPr>
          <w:p>
            <w:pPr>
              <w:spacing w:after="0" w:line="252" w:lineRule="auto"/>
              <w:jc w:val="center"/>
            </w:pPr>
            <w:r>
              <w:rPr>
                <w:b w:val="0"/>
                <w:sz w:val="16"/>
              </w:rPr>
              <w:t>0.546</w:t>
            </w:r>
          </w:p>
        </w:tc>
        <w:tc>
          <w:tcPr>
            <w:tcW w:type="dxa" w:w="1300"/>
            <w:vAlign w:val="center"/>
            <w:shd w:fill="FFFFFF"/>
            <w:tcMar>
              <w:top w:w="70" w:type="dxa"/>
              <w:bottom w:w="70" w:type="dxa"/>
              <w:left w:w="100" w:type="dxa"/>
              <w:right w:w="100" w:type="dxa"/>
            </w:tcMar>
          </w:tcPr>
          <w:p>
            <w:pPr>
              <w:spacing w:after="0" w:line="252" w:lineRule="auto"/>
              <w:jc w:val="center"/>
            </w:pPr>
            <w:r>
              <w:rPr>
                <w:b w:val="0"/>
                <w:sz w:val="16"/>
              </w:rPr>
              <w:t>0.445</w:t>
            </w:r>
          </w:p>
        </w:tc>
        <w:tc>
          <w:tcPr>
            <w:tcW w:type="dxa" w:w="1500"/>
            <w:vAlign w:val="center"/>
            <w:shd w:fill="FFFFFF"/>
            <w:tcMar>
              <w:top w:w="70" w:type="dxa"/>
              <w:bottom w:w="70" w:type="dxa"/>
              <w:left w:w="100" w:type="dxa"/>
              <w:right w:w="100" w:type="dxa"/>
            </w:tcMar>
          </w:tcPr>
          <w:p>
            <w:pPr>
              <w:spacing w:after="0" w:line="252" w:lineRule="auto"/>
              <w:jc w:val="center"/>
            </w:pPr>
            <w:r>
              <w:rPr>
                <w:b w:val="0"/>
                <w:sz w:val="16"/>
              </w:rPr>
              <w:t>Amber</w:t>
            </w:r>
          </w:p>
        </w:tc>
      </w:tr>
      <w:tr>
        <w:tc>
          <w:tcPr>
            <w:tcW w:type="dxa" w:w="2200"/>
            <w:vAlign w:val="center"/>
            <w:shd w:fill="F4F7F9"/>
            <w:tcMar>
              <w:top w:w="70" w:type="dxa"/>
              <w:bottom w:w="70" w:type="dxa"/>
              <w:left w:w="100" w:type="dxa"/>
              <w:right w:w="100" w:type="dxa"/>
            </w:tcMar>
          </w:tcPr>
          <w:p>
            <w:pPr>
              <w:spacing w:after="0" w:line="252" w:lineRule="auto"/>
              <w:jc w:val="left"/>
            </w:pPr>
            <w:r>
              <w:rPr>
                <w:b w:val="0"/>
                <w:sz w:val="16"/>
              </w:rPr>
              <w:t>Parametric</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9 / 9.39</w:t>
            </w:r>
          </w:p>
        </w:tc>
        <w:tc>
          <w:tcPr>
            <w:tcW w:type="dxa" w:w="1400"/>
            <w:vAlign w:val="center"/>
            <w:shd w:fill="F4F7F9"/>
            <w:tcMar>
              <w:top w:w="70" w:type="dxa"/>
              <w:bottom w:w="70" w:type="dxa"/>
              <w:left w:w="100" w:type="dxa"/>
              <w:right w:w="100" w:type="dxa"/>
            </w:tcMar>
          </w:tcPr>
          <w:p>
            <w:pPr>
              <w:spacing w:after="0" w:line="252" w:lineRule="auto"/>
              <w:jc w:val="center"/>
            </w:pPr>
            <w:r>
              <w:rPr>
                <w:b w:val="0"/>
                <w:sz w:val="16"/>
              </w:rPr>
              <w:t>0.898</w:t>
            </w:r>
          </w:p>
        </w:tc>
        <w:tc>
          <w:tcPr>
            <w:tcW w:type="dxa" w:w="1400"/>
            <w:vAlign w:val="center"/>
            <w:shd w:fill="F4F7F9"/>
            <w:tcMar>
              <w:top w:w="70" w:type="dxa"/>
              <w:bottom w:w="70" w:type="dxa"/>
              <w:left w:w="100" w:type="dxa"/>
              <w:right w:w="100" w:type="dxa"/>
            </w:tcMar>
          </w:tcPr>
          <w:p>
            <w:pPr>
              <w:spacing w:after="0" w:line="252" w:lineRule="auto"/>
              <w:jc w:val="center"/>
            </w:pPr>
            <w:r>
              <w:rPr>
                <w:b w:val="0"/>
                <w:sz w:val="16"/>
              </w:rPr>
              <w:t>0.676</w:t>
            </w:r>
          </w:p>
        </w:tc>
        <w:tc>
          <w:tcPr>
            <w:tcW w:type="dxa" w:w="1300"/>
            <w:vAlign w:val="center"/>
            <w:shd w:fill="F4F7F9"/>
            <w:tcMar>
              <w:top w:w="70" w:type="dxa"/>
              <w:bottom w:w="70" w:type="dxa"/>
              <w:left w:w="100" w:type="dxa"/>
              <w:right w:w="100" w:type="dxa"/>
            </w:tcMar>
          </w:tcPr>
          <w:p>
            <w:pPr>
              <w:spacing w:after="0" w:line="252" w:lineRule="auto"/>
              <w:jc w:val="center"/>
            </w:pPr>
            <w:r>
              <w:rPr>
                <w:b w:val="0"/>
                <w:sz w:val="16"/>
              </w:rPr>
              <w:t>0.909</w:t>
            </w:r>
          </w:p>
        </w:tc>
        <w:tc>
          <w:tcPr>
            <w:tcW w:type="dxa" w:w="1500"/>
            <w:vAlign w:val="center"/>
            <w:shd w:fill="F4F7F9"/>
            <w:tcMar>
              <w:top w:w="70" w:type="dxa"/>
              <w:bottom w:w="70" w:type="dxa"/>
              <w:left w:w="100" w:type="dxa"/>
              <w:right w:w="100" w:type="dxa"/>
            </w:tcMar>
          </w:tcPr>
          <w:p>
            <w:pPr>
              <w:spacing w:after="0" w:line="252" w:lineRule="auto"/>
              <w:jc w:val="center"/>
            </w:pPr>
            <w:r>
              <w:rPr>
                <w:b w:val="0"/>
                <w:sz w:val="16"/>
              </w:rPr>
              <w:t>Amber</w:t>
            </w:r>
          </w:p>
        </w:tc>
      </w:tr>
      <w:tr>
        <w:tc>
          <w:tcPr>
            <w:tcW w:type="dxa" w:w="2200"/>
            <w:vAlign w:val="center"/>
            <w:shd w:fill="FFFFFF"/>
            <w:tcMar>
              <w:top w:w="70" w:type="dxa"/>
              <w:bottom w:w="70" w:type="dxa"/>
              <w:left w:w="100" w:type="dxa"/>
              <w:right w:w="100" w:type="dxa"/>
            </w:tcMar>
          </w:tcPr>
          <w:p>
            <w:pPr>
              <w:spacing w:after="0" w:line="252" w:lineRule="auto"/>
              <w:jc w:val="left"/>
            </w:pPr>
            <w:r>
              <w:rPr>
                <w:b w:val="0"/>
                <w:sz w:val="16"/>
              </w:rPr>
              <w:t>Volatility state</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15 / 9.39</w:t>
            </w:r>
          </w:p>
        </w:tc>
        <w:tc>
          <w:tcPr>
            <w:tcW w:type="dxa" w:w="1400"/>
            <w:vAlign w:val="center"/>
            <w:shd w:fill="FFFFFF"/>
            <w:tcMar>
              <w:top w:w="70" w:type="dxa"/>
              <w:bottom w:w="70" w:type="dxa"/>
              <w:left w:w="100" w:type="dxa"/>
              <w:right w:w="100" w:type="dxa"/>
            </w:tcMar>
          </w:tcPr>
          <w:p>
            <w:pPr>
              <w:spacing w:after="0" w:line="252" w:lineRule="auto"/>
              <w:jc w:val="center"/>
            </w:pPr>
            <w:r>
              <w:rPr>
                <w:b w:val="0"/>
                <w:sz w:val="16"/>
              </w:rPr>
              <w:t>0.090</w:t>
            </w:r>
          </w:p>
        </w:tc>
        <w:tc>
          <w:tcPr>
            <w:tcW w:type="dxa" w:w="1400"/>
            <w:vAlign w:val="center"/>
            <w:shd w:fill="FFFFFF"/>
            <w:tcMar>
              <w:top w:w="70" w:type="dxa"/>
              <w:bottom w:w="70" w:type="dxa"/>
              <w:left w:w="100" w:type="dxa"/>
              <w:right w:w="100" w:type="dxa"/>
            </w:tcMar>
          </w:tcPr>
          <w:p>
            <w:pPr>
              <w:spacing w:after="0" w:line="252" w:lineRule="auto"/>
              <w:jc w:val="center"/>
            </w:pPr>
            <w:r>
              <w:rPr>
                <w:b w:val="0"/>
                <w:sz w:val="16"/>
              </w:rPr>
              <w:t>0.020</w:t>
            </w:r>
          </w:p>
        </w:tc>
        <w:tc>
          <w:tcPr>
            <w:tcW w:type="dxa" w:w="1300"/>
            <w:vAlign w:val="center"/>
            <w:shd w:fill="FFFFFF"/>
            <w:tcMar>
              <w:top w:w="70" w:type="dxa"/>
              <w:bottom w:w="70" w:type="dxa"/>
              <w:left w:w="100" w:type="dxa"/>
              <w:right w:w="100" w:type="dxa"/>
            </w:tcMar>
          </w:tcPr>
          <w:p>
            <w:pPr>
              <w:spacing w:after="0" w:line="252" w:lineRule="auto"/>
              <w:jc w:val="center"/>
            </w:pPr>
            <w:r>
              <w:rPr>
                <w:b w:val="0"/>
                <w:sz w:val="16"/>
              </w:rPr>
              <w:t>0.016</w:t>
            </w:r>
          </w:p>
        </w:tc>
        <w:tc>
          <w:tcPr>
            <w:tcW w:type="dxa" w:w="1500"/>
            <w:vAlign w:val="center"/>
            <w:shd w:fill="FFFFFF"/>
            <w:tcMar>
              <w:top w:w="70" w:type="dxa"/>
              <w:bottom w:w="70" w:type="dxa"/>
              <w:left w:w="100" w:type="dxa"/>
              <w:right w:w="100" w:type="dxa"/>
            </w:tcMar>
          </w:tcPr>
          <w:p>
            <w:pPr>
              <w:spacing w:after="0" w:line="252" w:lineRule="auto"/>
              <w:jc w:val="center"/>
            </w:pPr>
            <w:r>
              <w:rPr>
                <w:b w:val="0"/>
                <w:sz w:val="16"/>
              </w:rPr>
              <w:t>Amber</w:t>
            </w:r>
          </w:p>
        </w:tc>
      </w:tr>
    </w:tbl>
    <w:p>
      <w:pPr>
        <w:spacing w:after="0" w:line="180" w:lineRule="exact"/>
      </w:pPr>
      <w:r>
        <w:rPr>
          <w:sz w:val="2"/>
        </w:rPr>
        <w:t xml:space="preserve"> </w:t>
      </w:r>
    </w:p>
    <w:p>
      <w:pPr>
        <w:spacing w:after="80"/>
      </w:pPr>
      <w:r>
        <w:drawing>
          <wp:inline xmlns:a="http://schemas.openxmlformats.org/drawingml/2006/main" xmlns:pic="http://schemas.openxmlformats.org/drawingml/2006/picture">
            <wp:extent cx="6032500" cy="2243220"/>
            <wp:docPr id="5" name="Picture 5"/>
            <wp:cNvGraphicFramePr>
              <a:graphicFrameLocks noChangeAspect="1"/>
            </wp:cNvGraphicFramePr>
            <a:graphic>
              <a:graphicData uri="http://schemas.openxmlformats.org/drawingml/2006/picture">
                <pic:pic>
                  <pic:nvPicPr>
                    <pic:cNvPr id="0" name="backtest.png"/>
                    <pic:cNvPicPr/>
                  </pic:nvPicPr>
                  <pic:blipFill>
                    <a:blip r:embed="rId14"/>
                    <a:stretch>
                      <a:fillRect/>
                    </a:stretch>
                  </pic:blipFill>
                  <pic:spPr>
                    <a:xfrm>
                      <a:off x="0" y="0"/>
                      <a:ext cx="6032500" cy="2243220"/>
                    </a:xfrm>
                    <a:prstGeom prst="rect"/>
                  </pic:spPr>
                </pic:pic>
              </a:graphicData>
            </a:graphic>
          </wp:inline>
        </w:drawing>
      </w:r>
    </w:p>
    <w:p>
      <w:pPr>
        <w:keepLines/>
      </w:pPr>
      <w:r>
        <w:rPr>
          <w:sz w:val="16"/>
        </w:rPr>
        <w:t>Figure 5. Historical VaR99 forecasts and realized losses. Exceptions are retained as evidence rather than removed as bad data.</w:t>
      </w:r>
    </w:p>
    <w:p>
      <w:pPr>
        <w:keepLines/>
      </w:pPr>
      <w:r>
        <w:t>Historical simulation has 8 exceptions against 9.39 expected. Its conditional-coverage p-value is 0.837; this is a non-rejection of that null, not proof of a correct tail model. The volatility-state extension has 15 exceptions and conditional-coverage p = 0.016, illustrating why an adaptive feature should not be promoted merely for being more complex.</w:t>
      </w:r>
    </w:p>
    <w:p>
      <w:pPr>
        <w:keepLines/>
      </w:pPr>
      <w:r>
        <w:rPr>
          <w:sz w:val="16"/>
        </w:rPr>
        <w:t>The full test exceeds 250 observations, so its regulatory-style traffic classification is N/A. Last-250 status is separately labelled and uses precisely 250 one-day 99% forecasts: green 0-4, amber 5-9, red 10+. Other confidence levels and short selected ranges show N/A [8]. Sparse exceptions and nonstationarity limit test power.</w:t>
      </w:r>
    </w:p>
    <w:p>
      <w:r>
        <w:br w:type="page"/>
      </w:r>
    </w:p>
    <w:p>
      <w:pPr>
        <w:pStyle w:val="Heading1"/>
        <w:keepLines/>
      </w:pPr>
      <w:r>
        <w:t>08 Crisis exposure and recovery</w:t>
      </w:r>
    </w:p>
    <w:p>
      <w:pPr>
        <w:keepLines/>
      </w:pPr>
      <w:r>
        <w:t>The three historical scenarios replay actual adjusted ETF returns at fixed target weights, gross of costs. They describe what this allocation would have experienced; weights estimated through 2018 were not a policy available in 2008. Recovery is measured against the replay peak before its worst drawdown, using the later observed path.</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1300"/>
        <w:gridCol w:w="1700"/>
        <w:gridCol w:w="1700"/>
        <w:gridCol w:w="2600"/>
      </w:tblGrid>
      <w:tr>
        <w:trPr>
          <w:tblHeader/>
        </w:trPr>
        <w:tc>
          <w:tcPr>
            <w:tcW w:type="dxa" w:w="2200"/>
            <w:vAlign w:val="center"/>
            <w:shd w:fill="E5F1F1"/>
            <w:tcMar>
              <w:top w:w="70" w:type="dxa"/>
              <w:bottom w:w="70" w:type="dxa"/>
              <w:left w:w="100" w:type="dxa"/>
              <w:right w:w="100" w:type="dxa"/>
            </w:tcMar>
          </w:tcPr>
          <w:p>
            <w:pPr>
              <w:spacing w:after="0" w:line="252" w:lineRule="auto"/>
              <w:jc w:val="left"/>
            </w:pPr>
            <w:r>
              <w:rPr>
                <w:b/>
                <w:sz w:val="16"/>
              </w:rPr>
              <w:t>Scenario</w:t>
            </w:r>
          </w:p>
        </w:tc>
        <w:tc>
          <w:tcPr>
            <w:tcW w:type="dxa" w:w="1300"/>
            <w:vAlign w:val="center"/>
            <w:shd w:fill="E5F1F1"/>
            <w:tcMar>
              <w:top w:w="70" w:type="dxa"/>
              <w:bottom w:w="70" w:type="dxa"/>
              <w:left w:w="100" w:type="dxa"/>
              <w:right w:w="100" w:type="dxa"/>
            </w:tcMar>
          </w:tcPr>
          <w:p>
            <w:pPr>
              <w:spacing w:after="0" w:line="252" w:lineRule="auto"/>
              <w:jc w:val="center"/>
            </w:pPr>
            <w:r>
              <w:rPr>
                <w:b/>
                <w:sz w:val="16"/>
              </w:rPr>
              <w:t>Return</w:t>
            </w:r>
          </w:p>
        </w:tc>
        <w:tc>
          <w:tcPr>
            <w:tcW w:type="dxa" w:w="1700"/>
            <w:vAlign w:val="center"/>
            <w:shd w:fill="E5F1F1"/>
            <w:tcMar>
              <w:top w:w="70" w:type="dxa"/>
              <w:bottom w:w="70" w:type="dxa"/>
              <w:left w:w="100" w:type="dxa"/>
              <w:right w:w="100" w:type="dxa"/>
            </w:tcMar>
          </w:tcPr>
          <w:p>
            <w:pPr>
              <w:spacing w:after="0" w:line="252" w:lineRule="auto"/>
              <w:jc w:val="center"/>
            </w:pPr>
            <w:r>
              <w:rPr>
                <w:b/>
                <w:sz w:val="16"/>
              </w:rPr>
              <w:t>USD impact</w:t>
            </w:r>
          </w:p>
        </w:tc>
        <w:tc>
          <w:tcPr>
            <w:tcW w:type="dxa" w:w="1700"/>
            <w:vAlign w:val="center"/>
            <w:shd w:fill="E5F1F1"/>
            <w:tcMar>
              <w:top w:w="70" w:type="dxa"/>
              <w:bottom w:w="70" w:type="dxa"/>
              <w:left w:w="100" w:type="dxa"/>
              <w:right w:w="100" w:type="dxa"/>
            </w:tcMar>
          </w:tcPr>
          <w:p>
            <w:pPr>
              <w:spacing w:after="0" w:line="252" w:lineRule="auto"/>
              <w:jc w:val="center"/>
            </w:pPr>
            <w:r>
              <w:rPr>
                <w:b/>
                <w:sz w:val="16"/>
              </w:rPr>
              <w:t>Peak drawdown</w:t>
            </w:r>
          </w:p>
        </w:tc>
        <w:tc>
          <w:tcPr>
            <w:tcW w:type="dxa" w:w="2600"/>
            <w:vAlign w:val="center"/>
            <w:shd w:fill="E5F1F1"/>
            <w:tcMar>
              <w:top w:w="70" w:type="dxa"/>
              <w:bottom w:w="70" w:type="dxa"/>
              <w:left w:w="100" w:type="dxa"/>
              <w:right w:w="100" w:type="dxa"/>
            </w:tcMar>
          </w:tcPr>
          <w:p>
            <w:pPr>
              <w:spacing w:after="0" w:line="252" w:lineRule="auto"/>
              <w:jc w:val="center"/>
            </w:pPr>
            <w:r>
              <w:rPr>
                <w:b/>
                <w:sz w:val="16"/>
              </w:rPr>
              <w:t>Peak recovery</w:t>
            </w:r>
          </w:p>
        </w:tc>
      </w:tr>
      <w:tr>
        <w:tc>
          <w:tcPr>
            <w:tcW w:type="dxa" w:w="2200"/>
            <w:vAlign w:val="center"/>
            <w:shd w:fill="FFFFFF"/>
            <w:tcMar>
              <w:top w:w="70" w:type="dxa"/>
              <w:bottom w:w="70" w:type="dxa"/>
              <w:left w:w="100" w:type="dxa"/>
              <w:right w:w="100" w:type="dxa"/>
            </w:tcMar>
          </w:tcPr>
          <w:p>
            <w:pPr>
              <w:spacing w:after="0" w:line="252" w:lineRule="auto"/>
              <w:jc w:val="left"/>
            </w:pPr>
            <w:r>
              <w:rPr>
                <w:b w:val="0"/>
                <w:sz w:val="16"/>
              </w:rPr>
              <w:t>2008 GFC</w:t>
            </w:r>
          </w:p>
        </w:tc>
        <w:tc>
          <w:tcPr>
            <w:tcW w:type="dxa" w:w="1300"/>
            <w:vAlign w:val="center"/>
            <w:shd w:fill="FFFFFF"/>
            <w:tcMar>
              <w:top w:w="70" w:type="dxa"/>
              <w:bottom w:w="70" w:type="dxa"/>
              <w:left w:w="100" w:type="dxa"/>
              <w:right w:w="100" w:type="dxa"/>
            </w:tcMar>
          </w:tcPr>
          <w:p>
            <w:pPr>
              <w:spacing w:after="0" w:line="252" w:lineRule="auto"/>
              <w:jc w:val="center"/>
            </w:pPr>
            <w:r>
              <w:rPr>
                <w:b w:val="0"/>
                <w:sz w:val="16"/>
              </w:rPr>
              <w:t>-3.74%</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$-373,888</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16.66%</w:t>
            </w:r>
          </w:p>
        </w:tc>
        <w:tc>
          <w:tcPr>
            <w:tcW w:type="dxa" w:w="2600"/>
            <w:vAlign w:val="center"/>
            <w:shd w:fill="FFFFFF"/>
            <w:tcMar>
              <w:top w:w="70" w:type="dxa"/>
              <w:bottom w:w="70" w:type="dxa"/>
              <w:left w:w="100" w:type="dxa"/>
              <w:right w:w="100" w:type="dxa"/>
            </w:tcMar>
          </w:tcPr>
          <w:p>
            <w:pPr>
              <w:spacing w:after="0" w:line="252" w:lineRule="auto"/>
              <w:jc w:val="center"/>
            </w:pPr>
            <w:r>
              <w:rPr>
                <w:b w:val="0"/>
                <w:sz w:val="16"/>
              </w:rPr>
              <w:t>2009-07-21</w:t>
            </w:r>
          </w:p>
        </w:tc>
      </w:tr>
      <w:tr>
        <w:tc>
          <w:tcPr>
            <w:tcW w:type="dxa" w:w="2200"/>
            <w:vAlign w:val="center"/>
            <w:shd w:fill="F4F7F9"/>
            <w:tcMar>
              <w:top w:w="70" w:type="dxa"/>
              <w:bottom w:w="70" w:type="dxa"/>
              <w:left w:w="100" w:type="dxa"/>
              <w:right w:w="100" w:type="dxa"/>
            </w:tcMar>
          </w:tcPr>
          <w:p>
            <w:pPr>
              <w:spacing w:after="0" w:line="252" w:lineRule="auto"/>
              <w:jc w:val="left"/>
            </w:pPr>
            <w:r>
              <w:rPr>
                <w:b w:val="0"/>
                <w:sz w:val="16"/>
              </w:rPr>
              <w:t>2020 COVID</w:t>
            </w:r>
          </w:p>
        </w:tc>
        <w:tc>
          <w:tcPr>
            <w:tcW w:type="dxa" w:w="1300"/>
            <w:vAlign w:val="center"/>
            <w:shd w:fill="F4F7F9"/>
            <w:tcMar>
              <w:top w:w="70" w:type="dxa"/>
              <w:bottom w:w="70" w:type="dxa"/>
              <w:left w:w="100" w:type="dxa"/>
              <w:right w:w="100" w:type="dxa"/>
            </w:tcMar>
          </w:tcPr>
          <w:p>
            <w:pPr>
              <w:spacing w:after="0" w:line="252" w:lineRule="auto"/>
              <w:jc w:val="center"/>
            </w:pPr>
            <w:r>
              <w:rPr>
                <w:b w:val="0"/>
                <w:sz w:val="16"/>
              </w:rPr>
              <w:t>-3.66%</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$-365,876</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11.13%</w:t>
            </w:r>
          </w:p>
        </w:tc>
        <w:tc>
          <w:tcPr>
            <w:tcW w:type="dxa" w:w="2600"/>
            <w:vAlign w:val="center"/>
            <w:shd w:fill="F4F7F9"/>
            <w:tcMar>
              <w:top w:w="70" w:type="dxa"/>
              <w:bottom w:w="70" w:type="dxa"/>
              <w:left w:w="100" w:type="dxa"/>
              <w:right w:w="100" w:type="dxa"/>
            </w:tcMar>
          </w:tcPr>
          <w:p>
            <w:pPr>
              <w:spacing w:after="0" w:line="252" w:lineRule="auto"/>
              <w:jc w:val="center"/>
            </w:pPr>
            <w:r>
              <w:rPr>
                <w:b w:val="0"/>
                <w:sz w:val="16"/>
              </w:rPr>
              <w:t>2020-04-16</w:t>
            </w:r>
          </w:p>
        </w:tc>
      </w:tr>
      <w:tr>
        <w:tc>
          <w:tcPr>
            <w:tcW w:type="dxa" w:w="2200"/>
            <w:vAlign w:val="center"/>
            <w:shd w:fill="FFFFFF"/>
            <w:tcMar>
              <w:top w:w="70" w:type="dxa"/>
              <w:bottom w:w="70" w:type="dxa"/>
              <w:left w:w="100" w:type="dxa"/>
              <w:right w:w="100" w:type="dxa"/>
            </w:tcMar>
          </w:tcPr>
          <w:p>
            <w:pPr>
              <w:spacing w:after="0" w:line="252" w:lineRule="auto"/>
              <w:jc w:val="left"/>
            </w:pPr>
            <w:r>
              <w:rPr>
                <w:b w:val="0"/>
                <w:sz w:val="16"/>
              </w:rPr>
              <w:t>2022 rates</w:t>
            </w:r>
          </w:p>
        </w:tc>
        <w:tc>
          <w:tcPr>
            <w:tcW w:type="dxa" w:w="1300"/>
            <w:vAlign w:val="center"/>
            <w:shd w:fill="FFFFFF"/>
            <w:tcMar>
              <w:top w:w="70" w:type="dxa"/>
              <w:bottom w:w="70" w:type="dxa"/>
              <w:left w:w="100" w:type="dxa"/>
              <w:right w:w="100" w:type="dxa"/>
            </w:tcMar>
          </w:tcPr>
          <w:p>
            <w:pPr>
              <w:spacing w:after="0" w:line="252" w:lineRule="auto"/>
              <w:jc w:val="center"/>
            </w:pPr>
            <w:r>
              <w:rPr>
                <w:b w:val="0"/>
                <w:sz w:val="16"/>
              </w:rPr>
              <w:t>-13.26%</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$-1,325,844</w:t>
            </w:r>
          </w:p>
        </w:tc>
        <w:tc>
          <w:tcPr>
            <w:tcW w:type="dxa" w:w="1700"/>
            <w:vAlign w:val="center"/>
            <w:shd w:fill="FFFFFF"/>
            <w:tcMar>
              <w:top w:w="70" w:type="dxa"/>
              <w:bottom w:w="70" w:type="dxa"/>
              <w:left w:w="100" w:type="dxa"/>
              <w:right w:w="100" w:type="dxa"/>
            </w:tcMar>
          </w:tcPr>
          <w:p>
            <w:pPr>
              <w:spacing w:after="0" w:line="252" w:lineRule="auto"/>
              <w:jc w:val="center"/>
            </w:pPr>
            <w:r>
              <w:rPr>
                <w:b w:val="0"/>
                <w:sz w:val="16"/>
              </w:rPr>
              <w:t>17.52%</w:t>
            </w:r>
          </w:p>
        </w:tc>
        <w:tc>
          <w:tcPr>
            <w:tcW w:type="dxa" w:w="2600"/>
            <w:vAlign w:val="center"/>
            <w:shd w:fill="FFFFFF"/>
            <w:tcMar>
              <w:top w:w="70" w:type="dxa"/>
              <w:bottom w:w="70" w:type="dxa"/>
              <w:left w:w="100" w:type="dxa"/>
              <w:right w:w="100" w:type="dxa"/>
            </w:tcMar>
          </w:tcPr>
          <w:p>
            <w:pPr>
              <w:spacing w:after="0" w:line="252" w:lineRule="auto"/>
              <w:jc w:val="center"/>
            </w:pPr>
            <w:r>
              <w:rPr>
                <w:b w:val="0"/>
                <w:sz w:val="16"/>
              </w:rPr>
              <w:t>2024-05-15</w:t>
            </w:r>
          </w:p>
        </w:tc>
      </w:tr>
      <w:tr>
        <w:tc>
          <w:tcPr>
            <w:tcW w:type="dxa" w:w="2200"/>
            <w:vAlign w:val="center"/>
            <w:shd w:fill="F4F7F9"/>
            <w:tcMar>
              <w:top w:w="70" w:type="dxa"/>
              <w:bottom w:w="70" w:type="dxa"/>
              <w:left w:w="100" w:type="dxa"/>
              <w:right w:w="100" w:type="dxa"/>
            </w:tcMar>
          </w:tcPr>
          <w:p>
            <w:pPr>
              <w:spacing w:after="0" w:line="252" w:lineRule="auto"/>
              <w:jc w:val="left"/>
            </w:pPr>
            <w:r>
              <w:rPr>
                <w:b w:val="0"/>
                <w:sz w:val="16"/>
              </w:rPr>
              <w:t>Hypothetical funding squeeze</w:t>
            </w:r>
          </w:p>
        </w:tc>
        <w:tc>
          <w:tcPr>
            <w:tcW w:type="dxa" w:w="1300"/>
            <w:vAlign w:val="center"/>
            <w:shd w:fill="F4F7F9"/>
            <w:tcMar>
              <w:top w:w="70" w:type="dxa"/>
              <w:bottom w:w="70" w:type="dxa"/>
              <w:left w:w="100" w:type="dxa"/>
              <w:right w:w="100" w:type="dxa"/>
            </w:tcMar>
          </w:tcPr>
          <w:p>
            <w:pPr>
              <w:spacing w:after="0" w:line="252" w:lineRule="auto"/>
              <w:jc w:val="center"/>
            </w:pPr>
            <w:r>
              <w:rPr>
                <w:b w:val="0"/>
                <w:sz w:val="16"/>
              </w:rPr>
              <w:t>-15.23%</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$-1,522,670</w:t>
            </w:r>
          </w:p>
        </w:tc>
        <w:tc>
          <w:tcPr>
            <w:tcW w:type="dxa" w:w="1700"/>
            <w:vAlign w:val="center"/>
            <w:shd w:fill="F4F7F9"/>
            <w:tcMar>
              <w:top w:w="70" w:type="dxa"/>
              <w:bottom w:w="70" w:type="dxa"/>
              <w:left w:w="100" w:type="dxa"/>
              <w:right w:w="100" w:type="dxa"/>
            </w:tcMar>
          </w:tcPr>
          <w:p>
            <w:pPr>
              <w:spacing w:after="0" w:line="252" w:lineRule="auto"/>
              <w:jc w:val="center"/>
            </w:pPr>
            <w:r>
              <w:rPr>
                <w:b w:val="0"/>
                <w:sz w:val="16"/>
              </w:rPr>
              <w:t>15.23%</w:t>
            </w:r>
          </w:p>
        </w:tc>
        <w:tc>
          <w:tcPr>
            <w:tcW w:type="dxa" w:w="2600"/>
            <w:vAlign w:val="center"/>
            <w:shd w:fill="F4F7F9"/>
            <w:tcMar>
              <w:top w:w="70" w:type="dxa"/>
              <w:bottom w:w="70" w:type="dxa"/>
              <w:left w:w="100" w:type="dxa"/>
              <w:right w:w="100" w:type="dxa"/>
            </w:tcMar>
          </w:tcPr>
          <w:p>
            <w:pPr>
              <w:spacing w:after="0" w:line="252" w:lineRule="auto"/>
              <w:jc w:val="center"/>
            </w:pPr>
            <w:r>
              <w:rPr>
                <w:b w:val="0"/>
                <w:sz w:val="16"/>
              </w:rPr>
              <w:t>N/A: no invented recovery path</w:t>
            </w:r>
          </w:p>
        </w:tc>
      </w:tr>
    </w:tbl>
    <w:p>
      <w:pPr>
        <w:spacing w:after="0" w:line="180" w:lineRule="exact"/>
      </w:pPr>
      <w:r>
        <w:rPr>
          <w:sz w:val="2"/>
        </w:rPr>
        <w:t xml:space="preserve"> </w:t>
      </w:r>
    </w:p>
    <w:p>
      <w:pPr>
        <w:spacing w:after="80"/>
      </w:pPr>
      <w:r>
        <w:drawing>
          <wp:inline xmlns:a="http://schemas.openxmlformats.org/drawingml/2006/main" xmlns:pic="http://schemas.openxmlformats.org/drawingml/2006/picture">
            <wp:extent cx="6032500" cy="2173504"/>
            <wp:docPr id="6" name="Picture 6"/>
            <wp:cNvGraphicFramePr>
              <a:graphicFrameLocks noChangeAspect="1"/>
            </wp:cNvGraphicFramePr>
            <a:graphic>
              <a:graphicData uri="http://schemas.openxmlformats.org/drawingml/2006/picture">
                <pic:pic>
                  <pic:nvPicPr>
                    <pic:cNvPr id="0" name="stress.png"/>
                    <pic:cNvPicPr/>
                  </pic:nvPicPr>
                  <pic:blipFill>
                    <a:blip r:embed="rId15"/>
                    <a:stretch>
                      <a:fillRect/>
                    </a:stretch>
                  </pic:blipFill>
                  <pic:spPr>
                    <a:xfrm>
                      <a:off x="0" y="0"/>
                      <a:ext cx="6032500" cy="2173504"/>
                    </a:xfrm>
                    <a:prstGeom prst="rect"/>
                  </pic:spPr>
                </pic:pic>
              </a:graphicData>
            </a:graphic>
          </wp:inline>
        </w:drawing>
      </w:r>
    </w:p>
    <w:p>
      <w:pPr>
        <w:keepLines/>
      </w:pPr>
      <w:r>
        <w:rPr>
          <w:sz w:val="16"/>
        </w:rPr>
        <w:t>Figure 6. Terminal crisis return can conceal a much larger interim drawdown. The orange bar is a hypothetical simultaneous shock, not an observed event.</w:t>
      </w:r>
    </w:p>
    <w:p>
      <w:pPr>
        <w:keepLines/>
      </w:pPr>
      <w:r>
        <w:t>The funding squeeze assumes SPY -25%, EFA -30%, EEM -35%, AGG -12%, GLD -10%, XLE -25% and XLK -35%. It deliberately removes the assumption that bonds or gold must offset equities. No scenario probability is assigned; no synthetic recovery date is invented.</w:t>
      </w:r>
    </w:p>
    <w:p>
      <w:pPr>
        <w:keepLines/>
      </w:pPr>
      <w:r>
        <w:rPr>
          <w:sz w:val="16"/>
        </w:rPr>
        <w:t>The largest historical drawdown is 17.52%, and the synthetic loss is 15.23% ($1,522,670). Thus a bond-heavy allocation can be modestly volatile in ordinary conditions yet breach the proposed 15% crisis tolerance. Asset-level P&amp;L contributions and comparisons with all alternatives are exported and available in the crisis studio.</w:t>
      </w:r>
    </w:p>
    <w:p>
      <w:r>
        <w:br w:type="page"/>
      </w:r>
    </w:p>
    <w:p>
      <w:pPr>
        <w:pStyle w:val="Heading1"/>
        <w:keepLines/>
      </w:pPr>
      <w:r>
        <w:t>09 Risk budgeting and analytical value</w:t>
      </w:r>
    </w:p>
    <w:p>
      <w:pPr>
        <w:keepLines/>
      </w:pPr>
      <w:r>
        <w:t>Risk budgeting identifies where position changes matter. Historical ES contributions are derivatives of the finite-sample estimator, including interpolated quantile terms. Euler homogeneity makes their weighted sum equal portfolio ES; a numerical derivative test checks this identity. Gaussian simple-return VaR contributions are labelled separately rather than being attributed to the empirical or Monte Carlo model.</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1900"/>
        <w:gridCol w:w="2800"/>
        <w:gridCol w:w="2500"/>
      </w:tblGrid>
      <w:tr>
        <w:trPr>
          <w:tblHeader/>
        </w:trPr>
        <w:tc>
          <w:tcPr>
            <w:tcW w:type="dxa" w:w="2300"/>
            <w:vAlign w:val="center"/>
            <w:shd w:fill="E5F1F1"/>
            <w:tcMar>
              <w:top w:w="70" w:type="dxa"/>
              <w:bottom w:w="70" w:type="dxa"/>
              <w:left w:w="100" w:type="dxa"/>
              <w:right w:w="100" w:type="dxa"/>
            </w:tcMar>
          </w:tcPr>
          <w:p>
            <w:pPr>
              <w:spacing w:after="0" w:line="252" w:lineRule="auto"/>
              <w:jc w:val="left"/>
            </w:pPr>
            <w:r>
              <w:rPr>
                <w:b/>
                <w:sz w:val="16"/>
              </w:rPr>
              <w:t>Holding</w:t>
            </w:r>
          </w:p>
        </w:tc>
        <w:tc>
          <w:tcPr>
            <w:tcW w:type="dxa" w:w="1900"/>
            <w:vAlign w:val="center"/>
            <w:shd w:fill="E5F1F1"/>
            <w:tcMar>
              <w:top w:w="70" w:type="dxa"/>
              <w:bottom w:w="70" w:type="dxa"/>
              <w:left w:w="100" w:type="dxa"/>
              <w:right w:w="100" w:type="dxa"/>
            </w:tcMar>
          </w:tcPr>
          <w:p>
            <w:pPr>
              <w:spacing w:after="0" w:line="252" w:lineRule="auto"/>
              <w:jc w:val="center"/>
            </w:pPr>
            <w:r>
              <w:rPr>
                <w:b/>
                <w:sz w:val="16"/>
              </w:rPr>
              <w:t>Weight</w:t>
            </w:r>
          </w:p>
        </w:tc>
        <w:tc>
          <w:tcPr>
            <w:tcW w:type="dxa" w:w="2800"/>
            <w:vAlign w:val="center"/>
            <w:shd w:fill="E5F1F1"/>
            <w:tcMar>
              <w:top w:w="70" w:type="dxa"/>
              <w:bottom w:w="70" w:type="dxa"/>
              <w:left w:w="100" w:type="dxa"/>
              <w:right w:w="100" w:type="dxa"/>
            </w:tcMar>
          </w:tcPr>
          <w:p>
            <w:pPr>
              <w:spacing w:after="0" w:line="252" w:lineRule="auto"/>
              <w:jc w:val="center"/>
            </w:pPr>
            <w:r>
              <w:rPr>
                <w:b/>
                <w:sz w:val="16"/>
              </w:rPr>
              <w:t>ES contribution</w:t>
            </w:r>
          </w:p>
        </w:tc>
        <w:tc>
          <w:tcPr>
            <w:tcW w:type="dxa" w:w="2500"/>
            <w:vAlign w:val="center"/>
            <w:shd w:fill="E5F1F1"/>
            <w:tcMar>
              <w:top w:w="70" w:type="dxa"/>
              <w:bottom w:w="70" w:type="dxa"/>
              <w:left w:w="100" w:type="dxa"/>
              <w:right w:w="100" w:type="dxa"/>
            </w:tcMar>
          </w:tcPr>
          <w:p>
            <w:pPr>
              <w:spacing w:after="0" w:line="252" w:lineRule="auto"/>
              <w:jc w:val="center"/>
            </w:pPr>
            <w:r>
              <w:rPr>
                <w:b/>
                <w:sz w:val="16"/>
              </w:rPr>
              <w:t>ES share</w:t>
            </w:r>
          </w:p>
        </w:tc>
      </w:tr>
      <w:tr>
        <w:tc>
          <w:tcPr>
            <w:tcW w:type="dxa" w:w="2300"/>
            <w:vAlign w:val="center"/>
            <w:shd w:fill="FFFFFF"/>
            <w:tcMar>
              <w:top w:w="70" w:type="dxa"/>
              <w:bottom w:w="70" w:type="dxa"/>
              <w:left w:w="100" w:type="dxa"/>
              <w:right w:w="100" w:type="dxa"/>
            </w:tcMar>
          </w:tcPr>
          <w:p>
            <w:pPr>
              <w:spacing w:after="0" w:line="252" w:lineRule="auto"/>
              <w:jc w:val="left"/>
            </w:pPr>
            <w:r>
              <w:rPr>
                <w:b w:val="0"/>
                <w:sz w:val="16"/>
              </w:rPr>
              <w:t>SPY</w:t>
            </w:r>
          </w:p>
        </w:tc>
        <w:tc>
          <w:tcPr>
            <w:tcW w:type="dxa" w:w="1900"/>
            <w:vAlign w:val="center"/>
            <w:shd w:fill="FFFFFF"/>
            <w:tcMar>
              <w:top w:w="70" w:type="dxa"/>
              <w:bottom w:w="70" w:type="dxa"/>
              <w:left w:w="100" w:type="dxa"/>
              <w:right w:w="100" w:type="dxa"/>
            </w:tcMar>
          </w:tcPr>
          <w:p>
            <w:pPr>
              <w:spacing w:after="0" w:line="252" w:lineRule="auto"/>
              <w:jc w:val="center"/>
            </w:pPr>
            <w:r>
              <w:rPr>
                <w:b w:val="0"/>
                <w:sz w:val="16"/>
              </w:rPr>
              <w:t>11.73%</w:t>
            </w:r>
          </w:p>
        </w:tc>
        <w:tc>
          <w:tcPr>
            <w:tcW w:type="dxa" w:w="2800"/>
            <w:vAlign w:val="center"/>
            <w:shd w:fill="FFFFFF"/>
            <w:tcMar>
              <w:top w:w="70" w:type="dxa"/>
              <w:bottom w:w="70" w:type="dxa"/>
              <w:left w:w="100" w:type="dxa"/>
              <w:right w:w="100" w:type="dxa"/>
            </w:tcMar>
          </w:tcPr>
          <w:p>
            <w:pPr>
              <w:spacing w:after="0" w:line="252" w:lineRule="auto"/>
              <w:jc w:val="center"/>
            </w:pPr>
            <w:r>
              <w:rPr>
                <w:b w:val="0"/>
                <w:sz w:val="16"/>
              </w:rPr>
              <w:t>0.31%</w:t>
            </w:r>
          </w:p>
        </w:tc>
        <w:tc>
          <w:tcPr>
            <w:tcW w:type="dxa" w:w="2500"/>
            <w:vAlign w:val="center"/>
            <w:shd w:fill="FFFFFF"/>
            <w:tcMar>
              <w:top w:w="70" w:type="dxa"/>
              <w:bottom w:w="70" w:type="dxa"/>
              <w:left w:w="100" w:type="dxa"/>
              <w:right w:w="100" w:type="dxa"/>
            </w:tcMar>
          </w:tcPr>
          <w:p>
            <w:pPr>
              <w:spacing w:after="0" w:line="252" w:lineRule="auto"/>
              <w:jc w:val="center"/>
            </w:pPr>
            <w:r>
              <w:rPr>
                <w:b w:val="0"/>
                <w:sz w:val="16"/>
              </w:rPr>
              <w:t>23.44%</w:t>
            </w:r>
          </w:p>
        </w:tc>
      </w:tr>
      <w:tr>
        <w:tc>
          <w:tcPr>
            <w:tcW w:type="dxa" w:w="2300"/>
            <w:vAlign w:val="center"/>
            <w:shd w:fill="F4F7F9"/>
            <w:tcMar>
              <w:top w:w="70" w:type="dxa"/>
              <w:bottom w:w="70" w:type="dxa"/>
              <w:left w:w="100" w:type="dxa"/>
              <w:right w:w="100" w:type="dxa"/>
            </w:tcMar>
          </w:tcPr>
          <w:p>
            <w:pPr>
              <w:spacing w:after="0" w:line="252" w:lineRule="auto"/>
              <w:jc w:val="left"/>
            </w:pPr>
            <w:r>
              <w:rPr>
                <w:b w:val="0"/>
                <w:sz w:val="16"/>
              </w:rPr>
              <w:t>EFA</w:t>
            </w:r>
          </w:p>
        </w:tc>
        <w:tc>
          <w:tcPr>
            <w:tcW w:type="dxa" w:w="1900"/>
            <w:vAlign w:val="center"/>
            <w:shd w:fill="F4F7F9"/>
            <w:tcMar>
              <w:top w:w="70" w:type="dxa"/>
              <w:bottom w:w="70" w:type="dxa"/>
              <w:left w:w="100" w:type="dxa"/>
              <w:right w:w="100" w:type="dxa"/>
            </w:tcMar>
          </w:tcPr>
          <w:p>
            <w:pPr>
              <w:spacing w:after="0" w:line="252" w:lineRule="auto"/>
              <w:jc w:val="center"/>
            </w:pPr>
            <w:r>
              <w:rPr>
                <w:b w:val="0"/>
                <w:sz w:val="16"/>
              </w:rPr>
              <w:t>0.00%</w:t>
            </w:r>
          </w:p>
        </w:tc>
        <w:tc>
          <w:tcPr>
            <w:tcW w:type="dxa" w:w="2800"/>
            <w:vAlign w:val="center"/>
            <w:shd w:fill="F4F7F9"/>
            <w:tcMar>
              <w:top w:w="70" w:type="dxa"/>
              <w:bottom w:w="70" w:type="dxa"/>
              <w:left w:w="100" w:type="dxa"/>
              <w:right w:w="100" w:type="dxa"/>
            </w:tcMar>
          </w:tcPr>
          <w:p>
            <w:pPr>
              <w:spacing w:after="0" w:line="252" w:lineRule="auto"/>
              <w:jc w:val="center"/>
            </w:pPr>
            <w:r>
              <w:rPr>
                <w:b w:val="0"/>
                <w:sz w:val="16"/>
              </w:rPr>
              <w:t>0.00%</w:t>
            </w:r>
          </w:p>
        </w:tc>
        <w:tc>
          <w:tcPr>
            <w:tcW w:type="dxa" w:w="2500"/>
            <w:vAlign w:val="center"/>
            <w:shd w:fill="F4F7F9"/>
            <w:tcMar>
              <w:top w:w="70" w:type="dxa"/>
              <w:bottom w:w="70" w:type="dxa"/>
              <w:left w:w="100" w:type="dxa"/>
              <w:right w:w="100" w:type="dxa"/>
            </w:tcMar>
          </w:tcPr>
          <w:p>
            <w:pPr>
              <w:spacing w:after="0" w:line="252" w:lineRule="auto"/>
              <w:jc w:val="center"/>
            </w:pPr>
            <w:r>
              <w:rPr>
                <w:b w:val="0"/>
                <w:sz w:val="16"/>
              </w:rPr>
              <w:t>0.00%</w:t>
            </w:r>
          </w:p>
        </w:tc>
      </w:tr>
      <w:tr>
        <w:tc>
          <w:tcPr>
            <w:tcW w:type="dxa" w:w="2300"/>
            <w:vAlign w:val="center"/>
            <w:shd w:fill="FFFFFF"/>
            <w:tcMar>
              <w:top w:w="70" w:type="dxa"/>
              <w:bottom w:w="70" w:type="dxa"/>
              <w:left w:w="100" w:type="dxa"/>
              <w:right w:w="100" w:type="dxa"/>
            </w:tcMar>
          </w:tcPr>
          <w:p>
            <w:pPr>
              <w:spacing w:after="0" w:line="252" w:lineRule="auto"/>
              <w:jc w:val="left"/>
            </w:pPr>
            <w:r>
              <w:rPr>
                <w:b w:val="0"/>
                <w:sz w:val="16"/>
              </w:rPr>
              <w:t>EEM</w:t>
            </w:r>
          </w:p>
        </w:tc>
        <w:tc>
          <w:tcPr>
            <w:tcW w:type="dxa" w:w="1900"/>
            <w:vAlign w:val="center"/>
            <w:shd w:fill="FFFFFF"/>
            <w:tcMar>
              <w:top w:w="70" w:type="dxa"/>
              <w:bottom w:w="70" w:type="dxa"/>
              <w:left w:w="100" w:type="dxa"/>
              <w:right w:w="100" w:type="dxa"/>
            </w:tcMar>
          </w:tcPr>
          <w:p>
            <w:pPr>
              <w:spacing w:after="0" w:line="252" w:lineRule="auto"/>
              <w:jc w:val="center"/>
            </w:pPr>
            <w:r>
              <w:rPr>
                <w:b w:val="0"/>
                <w:sz w:val="16"/>
              </w:rPr>
              <w:t>0.00%</w:t>
            </w:r>
          </w:p>
        </w:tc>
        <w:tc>
          <w:tcPr>
            <w:tcW w:type="dxa" w:w="2800"/>
            <w:vAlign w:val="center"/>
            <w:shd w:fill="FFFFFF"/>
            <w:tcMar>
              <w:top w:w="70" w:type="dxa"/>
              <w:bottom w:w="70" w:type="dxa"/>
              <w:left w:w="100" w:type="dxa"/>
              <w:right w:w="100" w:type="dxa"/>
            </w:tcMar>
          </w:tcPr>
          <w:p>
            <w:pPr>
              <w:spacing w:after="0" w:line="252" w:lineRule="auto"/>
              <w:jc w:val="center"/>
            </w:pPr>
            <w:r>
              <w:rPr>
                <w:b w:val="0"/>
                <w:sz w:val="16"/>
              </w:rPr>
              <w:t>0.00%</w:t>
            </w:r>
          </w:p>
        </w:tc>
        <w:tc>
          <w:tcPr>
            <w:tcW w:type="dxa" w:w="2500"/>
            <w:vAlign w:val="center"/>
            <w:shd w:fill="FFFFFF"/>
            <w:tcMar>
              <w:top w:w="70" w:type="dxa"/>
              <w:bottom w:w="70" w:type="dxa"/>
              <w:left w:w="100" w:type="dxa"/>
              <w:right w:w="100" w:type="dxa"/>
            </w:tcMar>
          </w:tcPr>
          <w:p>
            <w:pPr>
              <w:spacing w:after="0" w:line="252" w:lineRule="auto"/>
              <w:jc w:val="center"/>
            </w:pPr>
            <w:r>
              <w:rPr>
                <w:b w:val="0"/>
                <w:sz w:val="16"/>
              </w:rPr>
              <w:t>0.00%</w:t>
            </w:r>
          </w:p>
        </w:tc>
      </w:tr>
      <w:tr>
        <w:tc>
          <w:tcPr>
            <w:tcW w:type="dxa" w:w="2300"/>
            <w:vAlign w:val="center"/>
            <w:shd w:fill="F4F7F9"/>
            <w:tcMar>
              <w:top w:w="70" w:type="dxa"/>
              <w:bottom w:w="70" w:type="dxa"/>
              <w:left w:w="100" w:type="dxa"/>
              <w:right w:w="100" w:type="dxa"/>
            </w:tcMar>
          </w:tcPr>
          <w:p>
            <w:pPr>
              <w:spacing w:after="0" w:line="252" w:lineRule="auto"/>
              <w:jc w:val="left"/>
            </w:pPr>
            <w:r>
              <w:rPr>
                <w:b w:val="0"/>
                <w:sz w:val="16"/>
              </w:rPr>
              <w:t>AGG</w:t>
            </w:r>
          </w:p>
        </w:tc>
        <w:tc>
          <w:tcPr>
            <w:tcW w:type="dxa" w:w="1900"/>
            <w:vAlign w:val="center"/>
            <w:shd w:fill="F4F7F9"/>
            <w:tcMar>
              <w:top w:w="70" w:type="dxa"/>
              <w:bottom w:w="70" w:type="dxa"/>
              <w:left w:w="100" w:type="dxa"/>
              <w:right w:w="100" w:type="dxa"/>
            </w:tcMar>
          </w:tcPr>
          <w:p>
            <w:pPr>
              <w:spacing w:after="0" w:line="252" w:lineRule="auto"/>
              <w:jc w:val="center"/>
            </w:pPr>
            <w:r>
              <w:rPr>
                <w:b w:val="0"/>
                <w:sz w:val="16"/>
              </w:rPr>
              <w:t>70.00%</w:t>
            </w:r>
          </w:p>
        </w:tc>
        <w:tc>
          <w:tcPr>
            <w:tcW w:type="dxa" w:w="2800"/>
            <w:vAlign w:val="center"/>
            <w:shd w:fill="F4F7F9"/>
            <w:tcMar>
              <w:top w:w="70" w:type="dxa"/>
              <w:bottom w:w="70" w:type="dxa"/>
              <w:left w:w="100" w:type="dxa"/>
              <w:right w:w="100" w:type="dxa"/>
            </w:tcMar>
          </w:tcPr>
          <w:p>
            <w:pPr>
              <w:spacing w:after="0" w:line="252" w:lineRule="auto"/>
              <w:jc w:val="center"/>
            </w:pPr>
            <w:r>
              <w:rPr>
                <w:b w:val="0"/>
                <w:sz w:val="16"/>
              </w:rPr>
              <w:t>0.38%</w:t>
            </w:r>
          </w:p>
        </w:tc>
        <w:tc>
          <w:tcPr>
            <w:tcW w:type="dxa" w:w="2500"/>
            <w:vAlign w:val="center"/>
            <w:shd w:fill="F4F7F9"/>
            <w:tcMar>
              <w:top w:w="70" w:type="dxa"/>
              <w:bottom w:w="70" w:type="dxa"/>
              <w:left w:w="100" w:type="dxa"/>
              <w:right w:w="100" w:type="dxa"/>
            </w:tcMar>
          </w:tcPr>
          <w:p>
            <w:pPr>
              <w:spacing w:after="0" w:line="252" w:lineRule="auto"/>
              <w:jc w:val="center"/>
            </w:pPr>
            <w:r>
              <w:rPr>
                <w:b w:val="0"/>
                <w:sz w:val="16"/>
              </w:rPr>
              <w:t>29.05%</w:t>
            </w:r>
          </w:p>
        </w:tc>
      </w:tr>
      <w:tr>
        <w:tc>
          <w:tcPr>
            <w:tcW w:type="dxa" w:w="2300"/>
            <w:vAlign w:val="center"/>
            <w:shd w:fill="FFFFFF"/>
            <w:tcMar>
              <w:top w:w="70" w:type="dxa"/>
              <w:bottom w:w="70" w:type="dxa"/>
              <w:left w:w="100" w:type="dxa"/>
              <w:right w:w="100" w:type="dxa"/>
            </w:tcMar>
          </w:tcPr>
          <w:p>
            <w:pPr>
              <w:spacing w:after="0" w:line="252" w:lineRule="auto"/>
              <w:jc w:val="left"/>
            </w:pPr>
            <w:r>
              <w:rPr>
                <w:b w:val="0"/>
                <w:sz w:val="16"/>
              </w:rPr>
              <w:t>GLD</w:t>
            </w:r>
          </w:p>
        </w:tc>
        <w:tc>
          <w:tcPr>
            <w:tcW w:type="dxa" w:w="1900"/>
            <w:vAlign w:val="center"/>
            <w:shd w:fill="FFFFFF"/>
            <w:tcMar>
              <w:top w:w="70" w:type="dxa"/>
              <w:bottom w:w="70" w:type="dxa"/>
              <w:left w:w="100" w:type="dxa"/>
              <w:right w:w="100" w:type="dxa"/>
            </w:tcMar>
          </w:tcPr>
          <w:p>
            <w:pPr>
              <w:spacing w:after="0" w:line="252" w:lineRule="auto"/>
              <w:jc w:val="center"/>
            </w:pPr>
            <w:r>
              <w:rPr>
                <w:b w:val="0"/>
                <w:sz w:val="16"/>
              </w:rPr>
              <w:t>10.00%</w:t>
            </w:r>
          </w:p>
        </w:tc>
        <w:tc>
          <w:tcPr>
            <w:tcW w:type="dxa" w:w="2800"/>
            <w:vAlign w:val="center"/>
            <w:shd w:fill="FFFFFF"/>
            <w:tcMar>
              <w:top w:w="70" w:type="dxa"/>
              <w:bottom w:w="70" w:type="dxa"/>
              <w:left w:w="100" w:type="dxa"/>
              <w:right w:w="100" w:type="dxa"/>
            </w:tcMar>
          </w:tcPr>
          <w:p>
            <w:pPr>
              <w:spacing w:after="0" w:line="252" w:lineRule="auto"/>
              <w:jc w:val="center"/>
            </w:pPr>
            <w:r>
              <w:rPr>
                <w:b w:val="0"/>
                <w:sz w:val="16"/>
              </w:rPr>
              <w:t>0.30%</w:t>
            </w:r>
          </w:p>
        </w:tc>
        <w:tc>
          <w:tcPr>
            <w:tcW w:type="dxa" w:w="2500"/>
            <w:vAlign w:val="center"/>
            <w:shd w:fill="FFFFFF"/>
            <w:tcMar>
              <w:top w:w="70" w:type="dxa"/>
              <w:bottom w:w="70" w:type="dxa"/>
              <w:left w:w="100" w:type="dxa"/>
              <w:right w:w="100" w:type="dxa"/>
            </w:tcMar>
          </w:tcPr>
          <w:p>
            <w:pPr>
              <w:spacing w:after="0" w:line="252" w:lineRule="auto"/>
              <w:jc w:val="center"/>
            </w:pPr>
            <w:r>
              <w:rPr>
                <w:b w:val="0"/>
                <w:sz w:val="16"/>
              </w:rPr>
              <w:t>23.21%</w:t>
            </w:r>
          </w:p>
        </w:tc>
      </w:tr>
      <w:tr>
        <w:tc>
          <w:tcPr>
            <w:tcW w:type="dxa" w:w="2300"/>
            <w:vAlign w:val="center"/>
            <w:shd w:fill="F4F7F9"/>
            <w:tcMar>
              <w:top w:w="70" w:type="dxa"/>
              <w:bottom w:w="70" w:type="dxa"/>
              <w:left w:w="100" w:type="dxa"/>
              <w:right w:w="100" w:type="dxa"/>
            </w:tcMar>
          </w:tcPr>
          <w:p>
            <w:pPr>
              <w:spacing w:after="0" w:line="252" w:lineRule="auto"/>
              <w:jc w:val="left"/>
            </w:pPr>
            <w:r>
              <w:rPr>
                <w:b w:val="0"/>
                <w:sz w:val="16"/>
              </w:rPr>
              <w:t>XLE</w:t>
            </w:r>
          </w:p>
        </w:tc>
        <w:tc>
          <w:tcPr>
            <w:tcW w:type="dxa" w:w="1900"/>
            <w:vAlign w:val="center"/>
            <w:shd w:fill="F4F7F9"/>
            <w:tcMar>
              <w:top w:w="70" w:type="dxa"/>
              <w:bottom w:w="70" w:type="dxa"/>
              <w:left w:w="100" w:type="dxa"/>
              <w:right w:w="100" w:type="dxa"/>
            </w:tcMar>
          </w:tcPr>
          <w:p>
            <w:pPr>
              <w:spacing w:after="0" w:line="252" w:lineRule="auto"/>
              <w:jc w:val="center"/>
            </w:pPr>
            <w:r>
              <w:rPr>
                <w:b w:val="0"/>
                <w:sz w:val="16"/>
              </w:rPr>
              <w:t>0.00%</w:t>
            </w:r>
          </w:p>
        </w:tc>
        <w:tc>
          <w:tcPr>
            <w:tcW w:type="dxa" w:w="2800"/>
            <w:vAlign w:val="center"/>
            <w:shd w:fill="F4F7F9"/>
            <w:tcMar>
              <w:top w:w="70" w:type="dxa"/>
              <w:bottom w:w="70" w:type="dxa"/>
              <w:left w:w="100" w:type="dxa"/>
              <w:right w:w="100" w:type="dxa"/>
            </w:tcMar>
          </w:tcPr>
          <w:p>
            <w:pPr>
              <w:spacing w:after="0" w:line="252" w:lineRule="auto"/>
              <w:jc w:val="center"/>
            </w:pPr>
            <w:r>
              <w:rPr>
                <w:b w:val="0"/>
                <w:sz w:val="16"/>
              </w:rPr>
              <w:t>0.00%</w:t>
            </w:r>
          </w:p>
        </w:tc>
        <w:tc>
          <w:tcPr>
            <w:tcW w:type="dxa" w:w="2500"/>
            <w:vAlign w:val="center"/>
            <w:shd w:fill="F4F7F9"/>
            <w:tcMar>
              <w:top w:w="70" w:type="dxa"/>
              <w:bottom w:w="70" w:type="dxa"/>
              <w:left w:w="100" w:type="dxa"/>
              <w:right w:w="100" w:type="dxa"/>
            </w:tcMar>
          </w:tcPr>
          <w:p>
            <w:pPr>
              <w:spacing w:after="0" w:line="252" w:lineRule="auto"/>
              <w:jc w:val="center"/>
            </w:pPr>
            <w:r>
              <w:rPr>
                <w:b w:val="0"/>
                <w:sz w:val="16"/>
              </w:rPr>
              <w:t>0.00%</w:t>
            </w:r>
          </w:p>
        </w:tc>
      </w:tr>
      <w:tr>
        <w:tc>
          <w:tcPr>
            <w:tcW w:type="dxa" w:w="2300"/>
            <w:vAlign w:val="center"/>
            <w:shd w:fill="FFFFFF"/>
            <w:tcMar>
              <w:top w:w="70" w:type="dxa"/>
              <w:bottom w:w="70" w:type="dxa"/>
              <w:left w:w="100" w:type="dxa"/>
              <w:right w:w="100" w:type="dxa"/>
            </w:tcMar>
          </w:tcPr>
          <w:p>
            <w:pPr>
              <w:spacing w:after="0" w:line="252" w:lineRule="auto"/>
              <w:jc w:val="left"/>
            </w:pPr>
            <w:r>
              <w:rPr>
                <w:b w:val="0"/>
                <w:sz w:val="16"/>
              </w:rPr>
              <w:t>XLK</w:t>
            </w:r>
          </w:p>
        </w:tc>
        <w:tc>
          <w:tcPr>
            <w:tcW w:type="dxa" w:w="1900"/>
            <w:vAlign w:val="center"/>
            <w:shd w:fill="FFFFFF"/>
            <w:tcMar>
              <w:top w:w="70" w:type="dxa"/>
              <w:bottom w:w="70" w:type="dxa"/>
              <w:left w:w="100" w:type="dxa"/>
              <w:right w:w="100" w:type="dxa"/>
            </w:tcMar>
          </w:tcPr>
          <w:p>
            <w:pPr>
              <w:spacing w:after="0" w:line="252" w:lineRule="auto"/>
              <w:jc w:val="center"/>
            </w:pPr>
            <w:r>
              <w:rPr>
                <w:b w:val="0"/>
                <w:sz w:val="16"/>
              </w:rPr>
              <w:t>8.27%</w:t>
            </w:r>
          </w:p>
        </w:tc>
        <w:tc>
          <w:tcPr>
            <w:tcW w:type="dxa" w:w="2800"/>
            <w:vAlign w:val="center"/>
            <w:shd w:fill="FFFFFF"/>
            <w:tcMar>
              <w:top w:w="70" w:type="dxa"/>
              <w:bottom w:w="70" w:type="dxa"/>
              <w:left w:w="100" w:type="dxa"/>
              <w:right w:w="100" w:type="dxa"/>
            </w:tcMar>
          </w:tcPr>
          <w:p>
            <w:pPr>
              <w:spacing w:after="0" w:line="252" w:lineRule="auto"/>
              <w:jc w:val="center"/>
            </w:pPr>
            <w:r>
              <w:rPr>
                <w:b w:val="0"/>
                <w:sz w:val="16"/>
              </w:rPr>
              <w:t>0.32%</w:t>
            </w:r>
          </w:p>
        </w:tc>
        <w:tc>
          <w:tcPr>
            <w:tcW w:type="dxa" w:w="2500"/>
            <w:vAlign w:val="center"/>
            <w:shd w:fill="FFFFFF"/>
            <w:tcMar>
              <w:top w:w="70" w:type="dxa"/>
              <w:bottom w:w="70" w:type="dxa"/>
              <w:left w:w="100" w:type="dxa"/>
              <w:right w:w="100" w:type="dxa"/>
            </w:tcMar>
          </w:tcPr>
          <w:p>
            <w:pPr>
              <w:spacing w:after="0" w:line="252" w:lineRule="auto"/>
              <w:jc w:val="center"/>
            </w:pPr>
            <w:r>
              <w:rPr>
                <w:b w:val="0"/>
                <w:sz w:val="16"/>
              </w:rPr>
              <w:t>24.31%</w:t>
            </w:r>
          </w:p>
        </w:tc>
      </w:tr>
    </w:tbl>
    <w:p>
      <w:pPr>
        <w:spacing w:after="0" w:line="180" w:lineRule="exact"/>
      </w:pPr>
      <w:r>
        <w:rPr>
          <w:sz w:val="2"/>
        </w:rPr>
        <w:t xml:space="preserve"> </w:t>
      </w:r>
    </w:p>
    <w:p>
      <w:pPr>
        <w:keepLines/>
      </w:pPr>
      <w:r>
        <w:t>The decision lab lets reviewers change target weights, the AGG floor, equity cap and a dollar risk budget. Re-optimization uses only the original allocation training slice. Current-risk experiments are kept separate from saved validation forecasts. A proportional exposure cap is diagnostic; cash is not an approved holding, so any funded change must use the seven eligible assets or an approved mandate revision.</w:t>
      </w:r>
    </w:p>
    <w:p>
      <w:pPr>
        <w:keepLines/>
      </w:pPr>
      <w:r>
        <w:t>The interpretable volatility-state extension scales historical shocks by the short/long volatility ratio. Its mean joint FZ0 score minus historical is +0.132; the paired 95% block interval is [-0.111, +0.394]. Lower is better. The interval crosses zero, and coverage worsens, so the extension is retained as research evidence rather than adopted as the default [12].</w:t>
      </w:r>
    </w:p>
    <w:p>
      <w:pPr>
        <w:keepLines/>
      </w:pPr>
      <w:r>
        <w:t>The scorecard avoids arbitrary composite weights: it shows each proposed policy check independently, with ±20% limit sensitivity. The evidence ledger ties metrics to their data window, formula, assumptions and validation. The optional assistant is a deterministic guide to that ledger; no external LLM controls a calculation or supplies a financial fact.</w:t>
      </w:r>
    </w:p>
    <w:p>
      <w:r>
        <w:br w:type="page"/>
      </w:r>
    </w:p>
    <w:p>
      <w:pPr>
        <w:pStyle w:val="Heading1"/>
        <w:keepLines/>
      </w:pPr>
      <w:r>
        <w:t>10 Proposed committee action</w:t>
      </w:r>
    </w:p>
    <w:p>
      <w:pPr>
        <w:keepLines/>
      </w:pPr>
      <w:r>
        <w:t>Draft decision: ADJUST the mandate before funding. The training minimum-variance candidate is suitable for discussion because its equity risk is capped and its construction does not depend on optimistic expected-return estimates. It is not ready for unconditional approval under a 15% crisis-loss/drawdown tolerance.</w:t>
      </w:r>
    </w:p>
    <w:p>
      <w:pPr>
        <w:keepLines/>
      </w:pPr>
      <w:r>
        <w:t>Ask the committee whether it can accept at least the observed 17.52% replay drawdown and assumed 15.23% funding-squeeze loss, while recognizing that future losses can exceed both. If not, require a new eligible-asset allocation that meets agreed stress constraints, or reject the current proposal. A favourable daily VaR backtest does not override the stress-limit breach.</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0"/>
        <w:gridCol w:w="4900"/>
      </w:tblGrid>
      <w:tr>
        <w:trPr>
          <w:tblHeader/>
        </w:trPr>
        <w:tc>
          <w:tcPr>
            <w:tcW w:type="dxa" w:w="4600"/>
            <w:vAlign w:val="center"/>
            <w:shd w:fill="E5F1F1"/>
            <w:tcMar>
              <w:top w:w="70" w:type="dxa"/>
              <w:bottom w:w="70" w:type="dxa"/>
              <w:left w:w="100" w:type="dxa"/>
              <w:right w:w="100" w:type="dxa"/>
            </w:tcMar>
          </w:tcPr>
          <w:p>
            <w:pPr>
              <w:spacing w:after="0" w:line="252" w:lineRule="auto"/>
              <w:jc w:val="left"/>
            </w:pPr>
            <w:r>
              <w:rPr>
                <w:b/>
                <w:sz w:val="16"/>
              </w:rPr>
              <w:t>Evidence</w:t>
            </w:r>
          </w:p>
        </w:tc>
        <w:tc>
          <w:tcPr>
            <w:tcW w:type="dxa" w:w="4900"/>
            <w:vAlign w:val="center"/>
            <w:shd w:fill="E5F1F1"/>
            <w:tcMar>
              <w:top w:w="70" w:type="dxa"/>
              <w:bottom w:w="70" w:type="dxa"/>
              <w:left w:w="100" w:type="dxa"/>
              <w:right w:w="100" w:type="dxa"/>
            </w:tcMar>
          </w:tcPr>
          <w:p>
            <w:pPr>
              <w:spacing w:after="0" w:line="252" w:lineRule="auto"/>
              <w:jc w:val="center"/>
            </w:pPr>
            <w:r>
              <w:rPr>
                <w:b/>
                <w:sz w:val="16"/>
              </w:rPr>
              <w:t>Implication</w:t>
            </w:r>
          </w:p>
        </w:tc>
      </w:tr>
      <w:tr>
        <w:tc>
          <w:tcPr>
            <w:tcW w:type="dxa" w:w="4600"/>
            <w:vAlign w:val="center"/>
            <w:shd w:fill="FFFFFF"/>
            <w:tcMar>
              <w:top w:w="70" w:type="dxa"/>
              <w:bottom w:w="70" w:type="dxa"/>
              <w:left w:w="100" w:type="dxa"/>
              <w:right w:w="100" w:type="dxa"/>
            </w:tcMar>
          </w:tcPr>
          <w:p>
            <w:pPr>
              <w:spacing w:after="0" w:line="252" w:lineRule="auto"/>
              <w:jc w:val="left"/>
            </w:pPr>
            <w:r>
              <w:rPr>
                <w:b w:val="0"/>
                <w:sz w:val="16"/>
              </w:rPr>
              <w:t>70% AGG cap binds</w:t>
            </w:r>
          </w:p>
        </w:tc>
        <w:tc>
          <w:tcPr>
            <w:tcW w:type="dxa" w:w="4900"/>
            <w:vAlign w:val="center"/>
            <w:shd w:fill="FFFFFF"/>
            <w:tcMar>
              <w:top w:w="70" w:type="dxa"/>
              <w:bottom w:w="70" w:type="dxa"/>
              <w:left w:w="100" w:type="dxa"/>
              <w:right w:w="100" w:type="dxa"/>
            </w:tcMar>
          </w:tcPr>
          <w:p>
            <w:pPr>
              <w:spacing w:after="0" w:line="252" w:lineRule="auto"/>
              <w:jc w:val="left"/>
            </w:pPr>
            <w:r>
              <w:rPr>
                <w:b w:val="0"/>
                <w:sz w:val="16"/>
              </w:rPr>
              <w:t>Lower estimated variance comes with bond concentration and rate risk</w:t>
            </w:r>
          </w:p>
        </w:tc>
      </w:tr>
      <w:tr>
        <w:tc>
          <w:tcPr>
            <w:tcW w:type="dxa" w:w="4600"/>
            <w:vAlign w:val="center"/>
            <w:shd w:fill="F4F7F9"/>
            <w:tcMar>
              <w:top w:w="70" w:type="dxa"/>
              <w:bottom w:w="70" w:type="dxa"/>
              <w:left w:w="100" w:type="dxa"/>
              <w:right w:w="100" w:type="dxa"/>
            </w:tcMar>
          </w:tcPr>
          <w:p>
            <w:pPr>
              <w:spacing w:after="0" w:line="252" w:lineRule="auto"/>
              <w:jc w:val="left"/>
            </w:pPr>
            <w:r>
              <w:rPr>
                <w:b w:val="0"/>
                <w:sz w:val="16"/>
              </w:rPr>
              <w:t>Net held-out CAGR 9.99%</w:t>
            </w:r>
          </w:p>
        </w:tc>
        <w:tc>
          <w:tcPr>
            <w:tcW w:type="dxa" w:w="4900"/>
            <w:vAlign w:val="center"/>
            <w:shd w:fill="F4F7F9"/>
            <w:tcMar>
              <w:top w:w="70" w:type="dxa"/>
              <w:bottom w:w="70" w:type="dxa"/>
              <w:left w:w="100" w:type="dxa"/>
              <w:right w:w="100" w:type="dxa"/>
            </w:tcMar>
          </w:tcPr>
          <w:p>
            <w:pPr>
              <w:spacing w:after="0" w:line="252" w:lineRule="auto"/>
              <w:jc w:val="left"/>
            </w:pPr>
            <w:r>
              <w:rPr>
                <w:b w:val="0"/>
                <w:sz w:val="16"/>
              </w:rPr>
              <w:t>Useful outcome, but not a promised sustainable return</w:t>
            </w:r>
          </w:p>
        </w:tc>
      </w:tr>
      <w:tr>
        <w:tc>
          <w:tcPr>
            <w:tcW w:type="dxa" w:w="4600"/>
            <w:vAlign w:val="center"/>
            <w:shd w:fill="FFFFFF"/>
            <w:tcMar>
              <w:top w:w="70" w:type="dxa"/>
              <w:bottom w:w="70" w:type="dxa"/>
              <w:left w:w="100" w:type="dxa"/>
              <w:right w:w="100" w:type="dxa"/>
            </w:tcMar>
          </w:tcPr>
          <w:p>
            <w:pPr>
              <w:spacing w:after="0" w:line="252" w:lineRule="auto"/>
              <w:jc w:val="left"/>
            </w:pPr>
            <w:r>
              <w:rPr>
                <w:b w:val="0"/>
                <w:sz w:val="16"/>
              </w:rPr>
              <w:t>Historical ES99 1.31%</w:t>
            </w:r>
          </w:p>
        </w:tc>
        <w:tc>
          <w:tcPr>
            <w:tcW w:type="dxa" w:w="4900"/>
            <w:vAlign w:val="center"/>
            <w:shd w:fill="FFFFFF"/>
            <w:tcMar>
              <w:top w:w="70" w:type="dxa"/>
              <w:bottom w:w="70" w:type="dxa"/>
              <w:left w:w="100" w:type="dxa"/>
              <w:right w:w="100" w:type="dxa"/>
            </w:tcMar>
          </w:tcPr>
          <w:p>
            <w:pPr>
              <w:spacing w:after="0" w:line="252" w:lineRule="auto"/>
              <w:jc w:val="left"/>
            </w:pPr>
            <w:r>
              <w:rPr>
                <w:b w:val="0"/>
                <w:sz w:val="16"/>
              </w:rPr>
              <w:t>Use as one monitored estimate; compare Gaussian and EVT results</w:t>
            </w:r>
          </w:p>
        </w:tc>
      </w:tr>
      <w:tr>
        <w:tc>
          <w:tcPr>
            <w:tcW w:type="dxa" w:w="4600"/>
            <w:vAlign w:val="center"/>
            <w:shd w:fill="F4F7F9"/>
            <w:tcMar>
              <w:top w:w="70" w:type="dxa"/>
              <w:bottom w:w="70" w:type="dxa"/>
              <w:left w:w="100" w:type="dxa"/>
              <w:right w:w="100" w:type="dxa"/>
            </w:tcMar>
          </w:tcPr>
          <w:p>
            <w:pPr>
              <w:spacing w:after="0" w:line="252" w:lineRule="auto"/>
              <w:jc w:val="left"/>
            </w:pPr>
            <w:r>
              <w:rPr>
                <w:b w:val="0"/>
                <w:sz w:val="16"/>
              </w:rPr>
              <w:t>Worst replay drawdown 17.52%</w:t>
            </w:r>
          </w:p>
        </w:tc>
        <w:tc>
          <w:tcPr>
            <w:tcW w:type="dxa" w:w="4900"/>
            <w:vAlign w:val="center"/>
            <w:shd w:fill="F4F7F9"/>
            <w:tcMar>
              <w:top w:w="70" w:type="dxa"/>
              <w:bottom w:w="70" w:type="dxa"/>
              <w:left w:w="100" w:type="dxa"/>
              <w:right w:w="100" w:type="dxa"/>
            </w:tcMar>
          </w:tcPr>
          <w:p>
            <w:pPr>
              <w:spacing w:after="0" w:line="252" w:lineRule="auto"/>
              <w:jc w:val="left"/>
            </w:pPr>
            <w:r>
              <w:rPr>
                <w:b w:val="0"/>
                <w:sz w:val="16"/>
              </w:rPr>
              <w:t>The proposed 15% tolerance needs explicit resolution</w:t>
            </w:r>
          </w:p>
        </w:tc>
      </w:tr>
      <w:tr>
        <w:tc>
          <w:tcPr>
            <w:tcW w:type="dxa" w:w="4600"/>
            <w:vAlign w:val="center"/>
            <w:shd w:fill="FFFFFF"/>
            <w:tcMar>
              <w:top w:w="70" w:type="dxa"/>
              <w:bottom w:w="70" w:type="dxa"/>
              <w:left w:w="100" w:type="dxa"/>
              <w:right w:w="100" w:type="dxa"/>
            </w:tcMar>
          </w:tcPr>
          <w:p>
            <w:pPr>
              <w:spacing w:after="0" w:line="252" w:lineRule="auto"/>
              <w:jc w:val="left"/>
            </w:pPr>
            <w:r>
              <w:rPr>
                <w:b w:val="0"/>
                <w:sz w:val="16"/>
              </w:rPr>
              <w:t>Spending requirement unspecified</w:t>
            </w:r>
          </w:p>
        </w:tc>
        <w:tc>
          <w:tcPr>
            <w:tcW w:type="dxa" w:w="4900"/>
            <w:vAlign w:val="center"/>
            <w:shd w:fill="FFFFFF"/>
            <w:tcMar>
              <w:top w:w="70" w:type="dxa"/>
              <w:bottom w:w="70" w:type="dxa"/>
              <w:left w:w="100" w:type="dxa"/>
              <w:right w:w="100" w:type="dxa"/>
            </w:tcMar>
          </w:tcPr>
          <w:p>
            <w:pPr>
              <w:spacing w:after="0" w:line="252" w:lineRule="auto"/>
              <w:jc w:val="left"/>
            </w:pPr>
            <w:r>
              <w:rPr>
                <w:b w:val="0"/>
                <w:sz w:val="16"/>
              </w:rPr>
              <w:t>Approve a payout/real-growth budget before implementation</w:t>
            </w:r>
          </w:p>
        </w:tc>
      </w:tr>
      <w:tr>
        <w:tc>
          <w:tcPr>
            <w:tcW w:type="dxa" w:w="4600"/>
            <w:vAlign w:val="center"/>
            <w:shd w:fill="F4F7F9"/>
            <w:tcMar>
              <w:top w:w="70" w:type="dxa"/>
              <w:bottom w:w="70" w:type="dxa"/>
              <w:left w:w="100" w:type="dxa"/>
              <w:right w:w="100" w:type="dxa"/>
            </w:tcMar>
          </w:tcPr>
          <w:p>
            <w:pPr>
              <w:spacing w:after="0" w:line="252" w:lineRule="auto"/>
              <w:jc w:val="left"/>
            </w:pPr>
            <w:r>
              <w:rPr>
                <w:b w:val="0"/>
                <w:sz w:val="16"/>
              </w:rPr>
              <w:t>Human-team approval absent</w:t>
            </w:r>
          </w:p>
        </w:tc>
        <w:tc>
          <w:tcPr>
            <w:tcW w:type="dxa" w:w="4900"/>
            <w:vAlign w:val="center"/>
            <w:shd w:fill="F4F7F9"/>
            <w:tcMar>
              <w:top w:w="70" w:type="dxa"/>
              <w:bottom w:w="70" w:type="dxa"/>
              <w:left w:w="100" w:type="dxa"/>
              <w:right w:w="100" w:type="dxa"/>
            </w:tcMar>
          </w:tcPr>
          <w:p>
            <w:pPr>
              <w:spacing w:after="0" w:line="252" w:lineRule="auto"/>
              <w:jc w:val="left"/>
            </w:pPr>
            <w:r>
              <w:rPr>
                <w:b w:val="0"/>
                <w:sz w:val="16"/>
              </w:rPr>
              <w:t>The team must evaluate and defend the recommendation</w:t>
            </w:r>
          </w:p>
        </w:tc>
      </w:tr>
    </w:tbl>
    <w:p>
      <w:pPr>
        <w:keepLines/>
      </w:pPr>
      <w:r>
        <w:t>A proposed operating process is daily risk/exception review, monthly exposure and turnover review, and annual mandate/assumption review. These frequencies are governance suggestions, not statistically optimized thresholds. Trading requires a committee-approved risk appetite, feasible rebalance policy and independent sign-off.</w:t>
      </w:r>
    </w:p>
    <w:p>
      <w:pPr>
        <w:keepLines/>
      </w:pPr>
      <w:r>
        <w:rPr>
          <w:sz w:val="16"/>
        </w:rPr>
        <w:t>Equal weighting and 60/40 are rejected as immediate conservative candidates because their equity allocations exceed the proposed ceiling. Mean variance relies more heavily on estimated returns. Constrained risk parity remains a credible alternative for human discussion; its better later performance is not used retrospectively to replace the pre-specified candidate.</w:t>
      </w:r>
    </w:p>
    <w:p>
      <w:r>
        <w:br w:type="page"/>
      </w:r>
    </w:p>
    <w:p>
      <w:pPr>
        <w:pStyle w:val="Heading1"/>
        <w:keepLines/>
      </w:pPr>
      <w:r>
        <w:t>11 Limitations reproducibility and AI</w:t>
      </w:r>
    </w:p>
    <w:p>
      <w:pPr>
        <w:keepLines/>
      </w:pPr>
      <w:r>
        <w:t>Daily risk does not measure a ten-year endowment shortfall. The models omit spending, liquidity needs, custody, tax, trade impact, and detailed income accounting. Reinvestment assumptions can overstate spendable growth. All current risk estimates are conditional on a finite historical sample; neither VaR nor EVT is a worst-loss guarantee.</w:t>
      </w:r>
    </w:p>
    <w:p>
      <w:pPr>
        <w:keepLines/>
      </w:pPr>
      <w:r>
        <w:t>Gaussian models miss heavy tails. EVT depends on threshold validity, finite tail means and serial-dependence assumptions. Current-vintage rates and adjusted prices are not a perfect point-in-time database. ADF rejection does not establish independence. Historical stress replays and post-2018 portfolio design cannot be portrayed as a strategy operating before that date.</w:t>
      </w:r>
    </w:p>
    <w:p>
      <w:pPr>
        <w:keepLines/>
      </w:pPr>
      <w:r>
        <w:t>The project supplies a hashed data snapshot, approved-source downloader, cleaned returns, flags, fitted EVT parameters, forecasts with estimation dates, machine-readable risk tables, figures and a manifest. Run the numerical and report pipeline, then launch the interface:</w:t>
      </w:r>
    </w:p>
    <w:p>
      <w:pPr>
        <w:keepLines/>
      </w:pPr>
      <w:r>
        <w:rPr>
          <w:sz w:val="16"/>
        </w:rPr>
        <w:t>pip install -r requirements.txt</w:t>
        <w:br/>
        <w:t>python run.py --reproduce</w:t>
        <w:br/>
        <w:t>streamlit run app.py</w:t>
      </w:r>
    </w:p>
    <w:p>
      <w:pPr>
        <w:keepLines/>
      </w:pPr>
      <w:r>
        <w:t>No API key is required for mandatory operation. The data snapshot supports offline analysis. Live source failures produce errors rather than invented observations. Refreshing data can change results; a new hash means a new dataset. Exact runtime and QA evidence are documented in Testing_and_Validation.md.</w:t>
      </w:r>
    </w:p>
    <w:p>
      <w:pPr>
        <w:keepLines/>
      </w:pPr>
      <w:r>
        <w:t>OpenAI Codex assisted with implementation, proposed modelling decisions, execution, tests, interpretation, interface and report/pitch drafting. Independent human validation is pending. The team must substantiate its portfolio choices, stress interpretation and final decision under section 8.7 of the official brief; agent checks do not satisfy that requirement.</w:t>
      </w:r>
    </w:p>
    <w:p>
      <w:pPr>
        <w:keepLines/>
      </w:pPr>
      <w:r>
        <w:t>Repository publication and team approval are external actions. The package contains deployment instructions and a pending approval record; it does not invent a GitHub URL, deployed app or completed human signature. The full policy assumptions and sources are available in the app and documentation.</w:t>
      </w:r>
    </w:p>
    <w:p>
      <w:r>
        <w:br w:type="page"/>
      </w:r>
    </w:p>
    <w:p>
      <w:pPr>
        <w:pStyle w:val="Heading1"/>
        <w:keepLines/>
      </w:pPr>
      <w:r>
        <w:t>References</w:t>
      </w:r>
    </w:p>
    <w:p>
      <w:pPr>
        <w:keepLines/>
      </w:pPr>
      <w:r>
        <w:rPr>
          <w:sz w:val="16"/>
        </w:rPr>
        <w:t>1. Official input: Quant edge 1.0 Final Challenge 1.pdf, October 2026, 10 pages, supplied by the user. The requirements matrix identifies page numbers. It permits AI assistance subject to independent human judgment and explicit disclosure.</w:t>
      </w:r>
    </w:p>
    <w:p>
      <w:pPr>
        <w:keepLines/>
      </w:pPr>
      <w:r>
        <w:rPr>
          <w:sz w:val="16"/>
        </w:rPr>
        <w:t>2. Yahoo Finance through yfinance (approved ETF source): https://ranaroussi.github.io/yfinance/reference/api/yfinance.download.html . `auto_adjust=False`, `Adj Close` field; fixed end is exclusive.</w:t>
      </w:r>
    </w:p>
    <w:p>
      <w:pPr>
        <w:keepLines/>
      </w:pPr>
      <w:r>
        <w:rPr>
          <w:sz w:val="16"/>
        </w:rPr>
        <w:t>3. FRED DTB3, Board of Governors of the Federal Reserve System: https://fred.stlouisfed.org/series/DTB3 . Bank-discount basis; actual retrieval is recorded in the data metadata.</w:t>
      </w:r>
    </w:p>
    <w:p>
      <w:pPr>
        <w:keepLines/>
      </w:pPr>
      <w:r>
        <w:rPr>
          <w:sz w:val="16"/>
        </w:rPr>
        <w:t>4. Markowitz, H. (1952). Portfolio Selection. Journal of Finance 7(1), 77-91. https://doi.org/10.1111/j.1540-6261.1952.tb01525.x . Constrained mean-variance framework; our covariance/mean shrinkage and constraints are implementation choices.</w:t>
      </w:r>
    </w:p>
    <w:p>
      <w:pPr>
        <w:keepLines/>
      </w:pPr>
      <w:r>
        <w:rPr>
          <w:sz w:val="16"/>
        </w:rPr>
        <w:t>5. Sharpe, W. F. (1964). Capital Asset Prices: A Theory of Market Equilibrium under Conditions of Risk. Journal of Finance 19(3), 425-442. https://doi.org/10.1111/j.1540-6261.1964.tb02865.x . CAPM is used diagnostically with SPY as the market proxy.</w:t>
      </w:r>
    </w:p>
    <w:p>
      <w:pPr>
        <w:keepLines/>
      </w:pPr>
      <w:r>
        <w:rPr>
          <w:sz w:val="16"/>
        </w:rPr>
        <w:t>6. Kupiec, P. H. (1995). Techniques for Verifying the Accuracy of Risk Measurement Models. Journal of Derivatives 3(2), 73-84. https://papers.ssrn.com/sol3/papers.cfm?abstract_id=6697 . Binomial coverage likelihood ratio.</w:t>
      </w:r>
    </w:p>
    <w:p>
      <w:pPr>
        <w:keepLines/>
      </w:pPr>
      <w:r>
        <w:rPr>
          <w:sz w:val="16"/>
        </w:rPr>
        <w:t>7. Christoffersen, P. F. (1998). Evaluating Interval Forecasts. International Economic Review 39(4), 841-862. Author manuscript: https://users.ssc.wisc.edu/~bhansen/718/Christoffersen1998.pdf . First-order exception independence and joint coverage.</w:t>
      </w:r>
    </w:p>
    <w:p>
      <w:pPr>
        <w:keepLines/>
      </w:pPr>
      <w:r>
        <w:rPr>
          <w:sz w:val="16"/>
        </w:rPr>
        <w:t>8. Basel Committee (1996). Supervisory framework for the use of backtesting in conjunction with the internal models approach to market risk capital requirements. https://www.bis.org/publ/bcbs22.pdf . Legacy 250-day, one-day 99% traffic-light thresholds; not a claim of endowment regulation.</w:t>
      </w:r>
    </w:p>
    <w:p>
      <w:pPr>
        <w:keepLines/>
      </w:pPr>
      <w:r>
        <w:rPr>
          <w:sz w:val="16"/>
        </w:rPr>
        <w:t>9. McNeil, A. J., and Frey, R. (2000). Estimation of tail-related risk measures for heteroscedastic financial time series: an extreme value approach. Journal of Empirical Finance 7, 271-300. https://doi.org/10.1016/S0927-5398(00)00012-8 . General EVT context; this project does not implement the authors' full model.</w:t>
      </w:r>
    </w:p>
    <w:p>
      <w:pPr>
        <w:keepLines/>
      </w:pPr>
      <w:r>
        <w:rPr>
          <w:sz w:val="16"/>
        </w:rPr>
        <w:t>10. SciPy generalized Pareto documentation: https://docs.scipy.org/doc/scipy/reference/generated/scipy.stats.genpareto.html . Shape `c` is xi; `floc=0` on threshold excesses.</w:t>
      </w:r>
    </w:p>
    <w:p>
      <w:pPr>
        <w:keepLines/>
      </w:pPr>
      <w:r>
        <w:rPr>
          <w:sz w:val="16"/>
        </w:rPr>
        <w:t>11. statsmodels ADF documentation: https://www.statsmodels.org/stable/generated/statsmodels.tsa.stattools.adfuller.html . A constant and AIC lag selection are used on training log returns.</w:t>
      </w:r>
    </w:p>
    <w:p>
      <w:pPr>
        <w:keepLines/>
      </w:pPr>
      <w:r>
        <w:rPr>
          <w:sz w:val="16"/>
        </w:rPr>
        <w:t>12. Patton, A. J., Ziegel, J. F., and Chen, R. (2019). Dynamic Semiparametric Models for Expected Shortfall (and Value-at-Risk). Journal of Econometrics 211(2), 388-413. https://public.econ.duke.edu/~ap172/Patton_Ziegel_Chen_JoE_2019.pdf . Joint FZ0 scoring, translated to positive losses.</w:t>
      </w:r>
    </w:p>
    <w:sectPr w:rsidR="00FC693F" w:rsidRPr="0006063C" w:rsidSect="00034616">
      <w:footerReference w:type="default" r:id="rId9"/>
      <w:pgSz w:w="11906" w:h="16838"/>
      <w:pgMar w:top="1000" w:right="1200" w:bottom="104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QUANTUM-X / AEGIS    PROPOSAL PENDING TEAM REVIEW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capital preservation research</dc:title>
  <dc:subject/>
  <dc:creator>Quantum-X; AI-assisted proposal</dc:creator>
  <cp:keywords/>
  <dc:description>generated by python-docx</dc:description>
  <cp:lastModifiedBy/>
  <cp:revision>1</cp:revision>
  <dcterms:created xsi:type="dcterms:W3CDTF">2013-12-23T23:15:00Z</dcterms:created>
  <dcterms:modified xsi:type="dcterms:W3CDTF">2013-12-23T23:15:00Z</dcterms:modified>
  <cp:category/>
</cp:coreProperties>
</file>