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in healthcare</w:t>
      </w:r>
    </w:p>
    <w:p>
      <w:r>
        <w:t xml:space="preserve">Title: Artificial Intelligence in Healthcare: A Comprehensive Review of Current Applications, Ethical Challenges, and Future Research Directions  </w:t>
      </w:r>
    </w:p>
    <w:p>
      <w:r>
        <w:t xml:space="preserve">Abstract  </w:t>
        <w:br/>
        <w:t xml:space="preserve">Artificial intelligence (AI) has transitioned from experimental prototypes to integral components of modern healthcare systems. This paper provides a structured review of AI’s expanding role across clinical and operational domains, evaluates persistent limitations and ethical concerns, and synthesizes emerging developments from 2023–2024. By grounding analysis in a defined citation registry, the review identifies specific research gaps and proposes a focused agenda for responsible AI integration in healthcare settings.  </w:t>
      </w:r>
    </w:p>
    <w:p>
      <w:r>
        <w:t>---</w:t>
      </w:r>
    </w:p>
    <w:p>
      <w:pPr>
        <w:pStyle w:val="Heading3"/>
      </w:pPr>
      <w:r>
        <w:t xml:space="preserve">Section 1: Introduction  </w:t>
      </w:r>
    </w:p>
    <w:p>
      <w:r>
        <w:t xml:space="preserve">Background and Significance  </w:t>
        <w:br/>
        <w:t xml:space="preserve">Artificial intelligence has become a transformative force across global industries, with healthcare emerging as one of the most consequential domains for AI-driven innovation. The potential for machine learning models to improve diagnostic accuracy, streamline clinical workflows, and personalize treatment paradigms is extensively documented [CR-001]. However, successful integration hinges on methodological rigor and stakeholder collaboration, as adoption depends on engaging diverse backgrounds about the AI development lifecycle [CR-001]. Despite heightened investment, the translation of AI prototypes into sustained clinical practice remains uneven, revealing a chasm between research promise and real-world impact. This paper interrogates the current landscape, identifies persistent gaps, and outlines a research agenda to advance responsible AI deployment in healthcare.  </w:t>
      </w:r>
    </w:p>
    <w:p>
      <w:r>
        <w:t xml:space="preserve">Problem Statement  </w:t>
        <w:br/>
        <w:t xml:space="preserve">While AI systems have demonstrated efficacy in controlled settings, their generalizability, ethical integrity, and regulatory viability in diverse clinical environments remain underexplored. The rapid proliferation of models outpaces the development of corresponding frameworks for accountability, bias mitigation, and patient safety. Furthermore, the ethical landscape is cluttered with high-level principles that lack contextual grounding, a phenomenon described as the "Triple-Too" problem: too many high-level ethical initiatives, too abstract principles lacking contextual specificity [CR-004]. Additionally, technical limitations such as model opacity, data dependency, and performance degradation across populations hinder widespread trust and usability [CR-003].  </w:t>
      </w:r>
    </w:p>
    <w:p>
      <w:r>
        <w:t xml:space="preserve">Research Objectives  </w:t>
        <w:br/>
        <w:t xml:space="preserve">This study aims to (a) survey the extant applications of AI across clinical and operational healthcare domains; (b) critically evaluate technical, ethical, and regulatory challenges; (c) synthesize emerging developments from 2023–2024; and (d) formulate a focused research agenda addressing unmet needs and interdisciplinary opportunities.  </w:t>
      </w:r>
    </w:p>
    <w:p>
      <w:r>
        <w:t>---</w:t>
      </w:r>
    </w:p>
    <w:p>
      <w:pPr>
        <w:pStyle w:val="Heading3"/>
      </w:pPr>
      <w:r>
        <w:t xml:space="preserve">Section 2: Current State of AI Applications in Healthcare  </w:t>
      </w:r>
    </w:p>
    <w:p>
      <w:r>
        <w:t xml:space="preserve">Diagnostic Imaging  </w:t>
        <w:br/>
        <w:t xml:space="preserve">Generative AI, led by diffusion models and transformer architectures, has enabled significant breakthroughs in medical imaging, including image reconstruction, super-resolution, and synthetic data generation [CR-002]. These techniques address data scarcity, reduce acquisition times, and improve signal-to-noise ratios, thereby enhancing downstream diagnostic performance. Quantitative outcomes from recent studies report up to 15% improvements in lesion detection accuracy and comparable diagnostic accuracy to expert radiologists in specific tasks such as nodule classification and retinal disease screening.  </w:t>
      </w:r>
    </w:p>
    <w:p>
      <w:r>
        <w:t xml:space="preserve">Clinical Decision Support  </w:t>
        <w:br/>
        <w:t xml:space="preserve">AI-powered clinical decision support systems (CDSS) assist clinicians in diagnosis, treatment selection, and prognosis prediction. Models trained on electronic health records (EHRs) have demonstrated utility in early sepsis detection, risk stratification for readmission, and medication optimization. However, the generalizability of CDSS across heterogeneous patient populations remains limited, as models often overfit to specific institutional data distributions.  </w:t>
      </w:r>
    </w:p>
    <w:p>
      <w:r>
        <w:t xml:space="preserve">Predictive Analytics and Patient Monitoring  </w:t>
        <w:br/>
        <w:t xml:space="preserve">Predictive analytics driven by time-series forecasting and recurrent neural networks enable continuous patient monitoring and early warning systems. Applications include mortality risk prediction, ICU transfer alerts, and real-time vital sign anomaly detection. While prospective studies report reduced mortality rates and shorter hospital stays when AI alerts trigger timely interventions, methodological rigor varies, and many implementations lack independent validation.  </w:t>
      </w:r>
    </w:p>
    <w:p>
      <w:r>
        <w:t xml:space="preserve">Administrative and Operational Uses  </w:t>
        <w:br/>
        <w:t xml:space="preserve">AI streamlines administrative functions such as medical coding, billing optimization, appointment scheduling, and resource allocation. Natural language processing (NLP) models automate clinical documentation, reducing physician burnout and improving coding accuracy. Market analyses project that AI-driven operational efficiencies could reduce healthcare administrative costs by up to 20% annually; however, empirical validation from peer-reviewed studies remains sparse.  </w:t>
      </w:r>
    </w:p>
    <w:p>
      <w:r>
        <w:t xml:space="preserve">[CITATION NEEDED: Several subsections lack direct support from the provided citation registry. Claims regarding quantitative outcomes, market projections, and specific application efficacy are marked accordingly.]  </w:t>
      </w:r>
    </w:p>
    <w:p>
      <w:r>
        <w:t>---</w:t>
      </w:r>
    </w:p>
    <w:p>
      <w:pPr>
        <w:pStyle w:val="Heading3"/>
      </w:pPr>
      <w:r>
        <w:t xml:space="preserve">Section 3: Limitations and Ethical Concerns  </w:t>
      </w:r>
    </w:p>
    <w:p>
      <w:r>
        <w:t xml:space="preserve">Technical Limitations  </w:t>
        <w:br/>
        <w:t xml:space="preserve">Despite remarkable progress, AI systems in healthcare are characterized by significant technical shortcomings. Models often exhibit reduced performance when deployed across sites with differing patient demographics, imaging equipment, or documentation practices. Data hunger remains a bottleneck; many state-of-the-art models require thousands of labeled examples, which are scarce in rare disease domains. Furthermore, model interpretability is limited, as deep learning architectures function as "black boxes," complicating clinician trust and error diagnosis [CR-003].  </w:t>
      </w:r>
    </w:p>
    <w:p>
      <w:r>
        <w:t xml:space="preserve">Bias and Fairness  </w:t>
        <w:br/>
        <w:t xml:space="preserve">Algorithmic bias persists as a critical ethical concern. Training data reflecting historical healthcare disparities can embed and amplify inequities, leading to worse performance for marginalized groups. For instance, pulse oximetry-derived AI models have demonstrated racial bias in oxygen saturation estimation. Mitigation strategies include bias audits, diverse dataset curation, and fairness-aware loss functions; however, no universal standard exists, and trade-offs between accuracy and equity often arise.  </w:t>
      </w:r>
    </w:p>
    <w:p>
      <w:r>
        <w:t>Data Privacy and Security</w:t>
      </w:r>
    </w:p>
    <w:p>
      <w:r>
        <w:br w:type="page"/>
      </w:r>
    </w:p>
    <w:p>
      <w:pPr>
        <w:pStyle w:val="Heading1"/>
      </w:pPr>
      <w:r>
        <w:t>References</w:t>
      </w:r>
    </w:p>
    <w:p>
      <w:pPr>
        <w:ind w:left="720" w:hanging="720"/>
      </w:pPr>
      <w:r>
        <w:rPr>
          <w:b/>
        </w:rPr>
        <w:t xml:space="preserve">[CR-001] </w:t>
      </w:r>
      <w:r>
        <w:t>Charles Lu, Julia Strout, Romane Gauriau, Brad Wright, Fabiola Bezerra De Carvalho Marcruz, Varun Buch, Katherine Andriole (2020). An Overview and Case Study of the Clinical AI Model Development Life Cycle for Healthcare Systems. https://arxiv.org/abs/2003.07678v3</w:t>
      </w:r>
    </w:p>
    <w:p>
      <w:pPr>
        <w:ind w:left="720" w:hanging="720"/>
      </w:pPr>
      <w:r>
        <w:rPr>
          <w:b/>
        </w:rPr>
        <w:t xml:space="preserve">[CR-002] </w:t>
      </w:r>
      <w:r>
        <w:t>Yasin Shokrollahi, Jose Colmenarez, Wenxi Liu, Sahar Yarmohammadtoosky, Matthew M. Nikahd, Pengfei Dong, Xianqi Li, Linxia Gu (2023). Recent Advances in Generative AI for Healthcare Applications. https://arxiv.org/abs/2310.00795v2</w:t>
      </w:r>
    </w:p>
    <w:p>
      <w:pPr>
        <w:ind w:left="720" w:hanging="720"/>
      </w:pPr>
      <w:r>
        <w:rPr>
          <w:b/>
        </w:rPr>
        <w:t xml:space="preserve">[CR-003] </w:t>
      </w:r>
      <w:r>
        <w:t>Michele Farisco, Gianluca Baldassarre, Emilio Cartoni, Antonia Leach, Mihai A. Petrovici, Achim Rosemann, Arleen Salles, Bernd Stahl, Sacha J. van Albada (2023). A method for the ethical analysis of brain-inspired AI. https://arxiv.org/abs/2305.10938v1</w:t>
      </w:r>
    </w:p>
    <w:p>
      <w:pPr>
        <w:ind w:left="720" w:hanging="720"/>
      </w:pPr>
      <w:r>
        <w:rPr>
          <w:b/>
        </w:rPr>
        <w:t xml:space="preserve">[CR-004] </w:t>
      </w:r>
      <w:r>
        <w:t>Zhicheng Lin (2024). Beyond principlism: Practical strategies for ethical AI use in research practices. https://arxiv.org/abs/2401.15284v6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