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and its Future in medical science</w:t>
      </w:r>
    </w:p>
    <w:p>
      <w:pPr>
        <w:pStyle w:val="Heading1"/>
      </w:pPr>
      <w:r>
        <w:t>Introduction</w:t>
      </w:r>
    </w:p>
    <w:p>
      <w:r>
        <w:t>[1] K. M.  41, no. 12, pp. 123877, Dec. 2017.</w:t>
        <w:br/>
        <w:t>[2] A.  20, no. 12, p. e13279, Dec. 2018.</w:t>
        <w:br/>
        <w:t>[3] D. A.  2, no. 11, p. e667, Nov. 2020.</w:t>
        <w:br/>
        <w:t>[4] Y.  6, pp. 13696-13707, Dec. 2018.</w:t>
        <w:br/>
        <w:t>[5] M. J.  17, no. 1, pp. 3-17, Jan. 2018.</w:t>
        <w:br/>
        <w:t>[6] S. R.  8, no. 1, p. 1, Jan. 20</w:t>
      </w:r>
    </w:p>
    <w:p>
      <w:pPr>
        <w:pStyle w:val="Heading1"/>
      </w:pPr>
      <w:r>
        <w:t>Literature Review</w:t>
      </w:r>
    </w:p>
    <w:p>
      <w:r>
        <w:t>Kane et al.</w:t>
      </w:r>
    </w:p>
    <w:p>
      <w:r>
        <w:t>Dong et al.  Yuan et al.</w:t>
      </w:r>
    </w:p>
    <w:p>
      <w:r>
        <w:t>References:</w:t>
        <w:br/>
        <w:t>[1] K. M., 41, no. 12, pp. 123877, Dec. 2017.</w:t>
        <w:br/>
        <w:t xml:space="preserve"> 12, p. e13279, Dec. 2018.</w:t>
        <w:br/>
        <w:t>[3] D. A., 2, no. 11, p. e667, Nov. 2020.</w:t>
        <w:br/>
        <w:t xml:space="preserve"> 13696-13707, Dec. 2018.</w:t>
        <w:br/>
        <w:t>[5] M. J., 17, no. 1, pp. 3-17, Jan. 2018.</w:t>
        <w:br/>
        <w:t>[6] S. R., 8, no. 1, p. 1, Jan. 2020.</w:t>
      </w:r>
    </w:p>
    <w:p>
      <w:pPr>
        <w:pStyle w:val="Heading1"/>
      </w:pPr>
      <w:r>
        <w:t>Case Studies</w:t>
      </w:r>
    </w:p>
    <w:p>
      <w:r>
        <w:t>M.</w:t>
      </w:r>
    </w:p>
    <w:p>
      <w:r>
        <w:t>2.</w:t>
      </w:r>
    </w:p>
    <w:p>
      <w:r>
        <w:t>3.  A.</w:t>
      </w:r>
    </w:p>
    <w:p>
      <w:r>
        <w:t>4.</w:t>
      </w:r>
    </w:p>
    <w:p>
      <w:r>
        <w:t>5.  J.</w:t>
      </w:r>
    </w:p>
    <w:p>
      <w:r>
        <w:t>6.  R.</w:t>
      </w:r>
    </w:p>
    <w:p>
      <w:pPr>
        <w:pStyle w:val="Heading1"/>
      </w:pPr>
      <w:r>
        <w:t>Future Trends</w:t>
      </w:r>
    </w:p>
    <w:p>
      <w:r>
        <w:t>[11] S. R., 2020.</w:t>
        <w:br/>
        <w:t>[12] M. J., 2018.</w:t>
      </w:r>
    </w:p>
    <w:p>
      <w:pPr>
        <w:pStyle w:val="Heading1"/>
      </w:pPr>
      <w:r>
        <w:t>Conclusion</w:t>
      </w:r>
    </w:p>
    <w:p>
      <w:r>
        <w:t>R. [11] and M. J. [12].</w:t>
      </w:r>
    </w:p>
    <w:p>
      <w:pPr>
        <w:pStyle w:val="Heading1"/>
      </w:pPr>
      <w:r>
        <w:t>References</w:t>
      </w:r>
    </w:p>
    <w:p>
      <w:pPr>
        <w:pStyle w:val="Heading1"/>
      </w:pPr>
      <w:r>
        <w:t>Items Requiring Human Input</w:t>
      </w:r>
    </w:p>
    <w:p>
      <w:pPr>
        <w:pStyle w:val="ListBullet"/>
      </w:pPr>
      <w:r>
        <w:t>Review claims marked partial or unsupported by evidence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