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Table X. Cross-dataset benchmark — macro-averaged F1 (%)</w:t>
      </w:r>
    </w:p>
    <w:p>
      <w:pPr>
        <w:jc w:val="center"/>
      </w:pPr>
      <w:r>
        <w:rPr>
          <w:i/>
          <w:sz w:val="17"/>
        </w:rPr>
        <w:t>18 strategies on ten datasets, 5-seed mean (42, 1337, 2024, 5555, 9999). Bold indicates best per column.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2041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Strategy</w:t>
            </w:r>
          </w:p>
        </w:tc>
        <w:tc>
          <w:tcPr>
            <w:tcW w:type="dxa" w:w="624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Gen.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Synth.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CIFAR-10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CIFAR-100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RTE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TREC-6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IMDb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SST-2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MRPC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SST-2(BERT)</w:t>
            </w:r>
          </w:p>
        </w:tc>
        <w:tc>
          <w:tcPr>
            <w:tcW w:type="dxa" w:w="1247"/>
            <w:tcMar>
              <w:top w:w="40" w:type="dxa"/>
              <w:bottom w:w="40" w:type="dxa"/>
              <w:left w:w="40" w:type="dxa"/>
              <w:right w:w="40" w:type="dxa"/>
            </w:tcMar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MRPC(BERT)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Fixed SGD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89.9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69.9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76.4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Cosine Decay SGD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43.8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92.1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70.4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SGDR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49.3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80.6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49.7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71.0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Adam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55.0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58.5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96.0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87.1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89.2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77.7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79.3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AdamW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95.9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87.2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78.7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AdaBound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83.2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93.8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76.9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67.1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LARS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75.3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44.3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92.1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78.4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Discriminative LR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53.9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51.6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24.3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87.7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39.9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61.6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RAdam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59.0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95.3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87.2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89.8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79.0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78.8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Lion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79.3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54.9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58.6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96.1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89.3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77.2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Lookahead+AdamW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98.0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77.6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52.3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59.3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96.0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87.4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90.7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80.1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81.3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SAM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56.5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47.3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93.0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63.2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92.1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76.6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Grokfast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57.6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94.9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79.9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STLR+Discriminative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23.4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88.3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40.6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58.5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SAM+Discriminative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SOTA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53.0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21.8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88.1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40.6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55.4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DALS (Ours)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SOTA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52.9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51.9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78.2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85.9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89.9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43.6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69.6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DALS-Fast (Ours)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SOTA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97.4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84.2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59.6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52.1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75.1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85.5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91.7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67.9</w:t>
            </w:r>
          </w:p>
        </w:tc>
      </w:tr>
      <w:tr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DALS-Acc (Ours)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SOTA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97.8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82.7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57.2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50.0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81.3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86.3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90.3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59.7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92.1</w:t>
            </w:r>
          </w:p>
        </w:tc>
        <w:tc>
          <w:tcPr>
            <w:tcW w:type="dxa" w:w="1290"/>
            <w:tcMar>
              <w:top w:w="40" w:type="dxa"/>
              <w:bottom w:w="40" w:type="dxa"/>
              <w:left w:w="40" w:type="dxa"/>
              <w:right w:w="40" w:type="dxa"/>
            </w:tcMar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74.6</w:t>
            </w:r>
          </w:p>
        </w:tc>
      </w:tr>
    </w:tbl>
    <w:p>
      <w:pPr>
        <w:spacing w:before="120"/>
      </w:pPr>
      <w:r>
        <w:rPr>
          <w:i/>
          <w:sz w:val="16"/>
        </w:rPr>
        <w:t>Note. Macro-averaged F1 is computed on the test split using the checkpoint selected on the validation split; values are means over five fixed seeds. For legacy RTX-4070 runs on binary tasks (RTE, IMDb, MRPC, MRPC-BERT), positive-class F1 in the archived logs was converted analytically to macro-F1 using test accuracy and the test-set class distribution. Best per column in bold.</w:t>
      </w:r>
    </w:p>
    <w:p>
      <w:r>
        <w:rPr>
          <w:color w:val="595959"/>
          <w:sz w:val="16"/>
        </w:rPr>
        <w:t>Source: R3 supplementary material, S8 per-strategy per-seed macro-F1 tables. This is the F1 counterpart of the main cross-dataset accuracy table.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