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the Editor and Reviewers</w:t>
      </w:r>
    </w:p>
    <w:p>
      <w:pPr>
        <w:spacing w:after="120"/>
        <w:jc w:val="center"/>
      </w:pPr>
      <w:r>
        <w:rPr>
          <w:b/>
          <w:i w:val="0"/>
          <w:sz w:val="22"/>
        </w:rPr>
        <w:t>Manuscript NEUCOM-D-26-12332</w:t>
      </w:r>
    </w:p>
    <w:p>
      <w:pPr>
        <w:spacing w:after="320"/>
        <w:jc w:val="center"/>
      </w:pPr>
      <w:r>
        <w:rPr>
          <w:b w:val="0"/>
          <w:i/>
          <w:sz w:val="22"/>
        </w:rPr>
        <w:t>"Learning Rate Engineering: From Coarse Single Parameter to Layered Evolution"</w:t>
      </w:r>
    </w:p>
    <w:p>
      <w:pPr>
        <w:spacing w:after="120"/>
      </w:pPr>
      <w:r>
        <w:rPr>
          <w:b w:val="0"/>
          <w:i w:val="0"/>
          <w:sz w:val="22"/>
        </w:rPr>
        <w:t>Dear Editor-in-Chief, Associate Editor, and Reviewers,</w:t>
      </w:r>
    </w:p>
    <w:p>
      <w:pPr>
        <w:spacing w:after="120"/>
      </w:pPr>
      <w:r>
        <w:rPr>
          <w:b w:val="0"/>
          <w:i w:val="0"/>
          <w:sz w:val="22"/>
        </w:rPr>
        <w:t>We would like to thank the Editor-in-Chief (Prof. Ana Carolina Lorena) and the Associate Editor for the opportunity to revise our manuscript, and all reviewers for their careful and constructive evaluation. We have revised the manuscript to address every comment raised, and we provide a point-by-point response below.</w:t>
      </w:r>
    </w:p>
    <w:p>
      <w:pPr>
        <w:spacing w:after="120"/>
      </w:pPr>
      <w:r>
        <w:rPr>
          <w:b w:val="0"/>
          <w:i w:val="0"/>
          <w:sz w:val="22"/>
        </w:rPr>
        <w:t>In the revised manuscript, the benchmark has been expanded from 8 to 10 datasets covering both from-scratch and fine-tuning regimes; all results are reported as mean +/- std over five fixed seeds with 95% confidence intervals, and a statistical-significance analysis (paired t-tests and bootstrap confidence intervals) accompanies the benchmark; macro-averaged F1 is computed in the evaluation; component-level and pairwise ablation studies, an efficiency analysis, and a reproducibility section have been added. We have also corrected the factual errors and inconsistencies identified by the reviewers. Reviewer comments are reproduced below (paraphrased where the verbatim text was not available to us), and each is followed by our response and the location of the corresponding change in the revised manuscript.</w:t>
      </w:r>
    </w:p>
    <w:p>
      <w:pPr>
        <w:spacing w:after="320"/>
      </w:pPr>
      <w:r>
        <w:rPr>
          <w:b w:val="0"/>
          <w:i w:val="0"/>
          <w:sz w:val="22"/>
        </w:rPr>
        <w:t>We hope the revised version is now suitable for publication in Neurocomputing.</w:t>
      </w:r>
    </w:p>
    <w:p>
      <w:pPr>
        <w:pStyle w:val="Heading1"/>
      </w:pPr>
      <w:r>
        <w:t>Response to the Editor</w:t>
      </w:r>
    </w:p>
    <w:p>
      <w:pPr>
        <w:spacing w:after="120"/>
      </w:pPr>
      <w:r>
        <w:rPr>
          <w:b w:val="0"/>
          <w:i w:val="0"/>
          <w:sz w:val="22"/>
        </w:rPr>
        <w:t>The Editor-in-Chief and the Associate Editor indicated that the manuscript cannot be accepted in its current form but invited a major revision, with a point-by-point response to the reviewers and the possibility of re-review. We are grateful for this opportunity.</w:t>
      </w:r>
    </w:p>
    <w:p>
      <w:pPr>
        <w:spacing w:after="320"/>
      </w:pPr>
      <w:r>
        <w:rPr>
          <w:b w:val="0"/>
          <w:i w:val="0"/>
          <w:sz w:val="22"/>
        </w:rPr>
        <w:t xml:space="preserve">We confirm that </w:t>
      </w:r>
      <w:r>
        <w:rPr>
          <w:b/>
          <w:i w:val="0"/>
          <w:sz w:val="22"/>
        </w:rPr>
        <w:t>every comment raised by Reviewers 1, 2, 4, and 5 has been addressed</w:t>
      </w:r>
      <w:r>
        <w:rPr>
          <w:b w:val="0"/>
          <w:i w:val="0"/>
          <w:sz w:val="22"/>
        </w:rPr>
        <w:t xml:space="preserve"> in the revised manuscript and in the point-by-point responses below. All editorial suggestions (including the recommendation to cite parameter-efficient fine-tuning work) have also been incorporated. Where the requested analysis could not be fully completed within this revision, the manuscript now transparently states the limitation and the planned follow-up.</w:t>
      </w:r>
    </w:p>
    <w:p>
      <w:pPr>
        <w:pStyle w:val="Heading1"/>
      </w:pPr>
      <w:r>
        <w:t>Response to Reviewer #1</w:t>
      </w:r>
    </w:p>
    <w:p>
      <w:pPr>
        <w:spacing w:after="80"/>
      </w:pPr>
      <w:r>
        <w:rPr>
          <w:b/>
          <w:i/>
          <w:sz w:val="22"/>
        </w:rPr>
        <w:t xml:space="preserve">Comment (R1-1): </w:t>
      </w:r>
      <w:r>
        <w:rPr>
          <w:b w:val="0"/>
          <w:i/>
          <w:sz w:val="22"/>
        </w:rPr>
        <w:t>DALS appears to be a simple engineering combination of existing components with limited novelty. The authors should clarify the theoretical motivation for the specific combination, the synergy among the components, and why alternative combinations were not considered.</w:t>
      </w:r>
    </w:p>
    <w:p>
      <w:pPr>
        <w:spacing w:after="200"/>
      </w:pPr>
      <w:r>
        <w:rPr>
          <w:b/>
        </w:rPr>
        <w:t xml:space="preserve">Response: </w:t>
      </w:r>
      <w:r>
        <w:t>We thank the reviewer for this important point. We have clarified the design rationale explicitly. The unique motivation for combining temporal (phase), spatial (depth), and magnitude (trust ratio) axes is the layer-wise update conflict: no single global learning rate can simultaneously achieve fast convergence, knowledge preservation, and good performance across layers with heterogeneous feature abstraction (Section 1 and Fig. 1). The synergy is that the three mechanisms are orthogonal and address distinct failure modes: the detected phase determines the strength of gradient smoothing over time, the depth axis determines the raw-vs-filtered blending across layers, and the trust ratio normalizes update magnitudes per parameter. A new subsection "Key Design Principles" (Section 3.3) and the expanded Section 3.7 with Table 1 (component origins and adaptations) make this logic explicit. We also discuss why the naive transfer-learning combination (discriminative decay + STLR) fails in regimes it was not designed for (Section 4.3), which is the main alternative combination we considered and rejected.</w:t>
      </w:r>
    </w:p>
    <w:p>
      <w:pPr>
        <w:spacing w:after="240"/>
        <w:ind w:left="454"/>
      </w:pPr>
      <w:r>
        <w:rPr>
          <w:i/>
          <w:color w:val="1F4E79"/>
          <w:sz w:val="20"/>
        </w:rPr>
        <w:t>Revised: Section 1 (layer-wise update conflict), Section 3.3 "Key Design Principles", Section 3.7 "Relationship to Prior Work and Parameter-Efficient Fine-tuning", Table 1, Section 4.3 (STLR+Discriminative analysis).</w:t>
      </w:r>
    </w:p>
    <w:p>
      <w:pPr>
        <w:spacing w:after="80"/>
      </w:pPr>
      <w:r>
        <w:rPr>
          <w:b/>
          <w:i/>
          <w:sz w:val="22"/>
        </w:rPr>
        <w:t xml:space="preserve">Comment (R1-2): </w:t>
      </w:r>
      <w:r>
        <w:rPr>
          <w:b w:val="0"/>
          <w:i/>
          <w:sz w:val="22"/>
        </w:rPr>
        <w:t>Theoretical analysis is lacking. The thresholds (0.01/0.002), depth coefficients, trust clipping, warmup, and Grokfast parameters appear ad hoc. Does DALS converge?</w:t>
      </w:r>
    </w:p>
    <w:p>
      <w:pPr>
        <w:spacing w:after="200"/>
      </w:pPr>
      <w:r>
        <w:rPr>
          <w:b/>
        </w:rPr>
        <w:t xml:space="preserve">Response: </w:t>
      </w:r>
      <w:r>
        <w:t>We have added Section 3.6 "Theoretical Considerations and Open Questions". The section clarifies the design itself: the phase partition affects only the EMA smoothing coefficient and not the learning-rate schedule, so the learning-rate schedule is a standard warmup-cosine schedule independent of the detected phase; and the trust ratio is clamped to [0.2, 5.0], so the effective per-parameter step size remains within a bounded constant factor of the global learning rate. We explicitly and honestly state that a full formal convergence analysis and a principled derivation of the phase thresholds remain open and are left to future work (Section 4.8), rather than claiming results that we cannot support.</w:t>
      </w:r>
    </w:p>
    <w:p>
      <w:pPr>
        <w:spacing w:after="240"/>
        <w:ind w:left="454"/>
      </w:pPr>
      <w:r>
        <w:rPr>
          <w:i/>
          <w:color w:val="1F4E79"/>
          <w:sz w:val="20"/>
        </w:rPr>
        <w:t>Revised: Section 3.6 "Theoretical Considerations and Open Questions"; Limitations (Section 4.8).</w:t>
      </w:r>
    </w:p>
    <w:p>
      <w:pPr>
        <w:spacing w:after="80"/>
      </w:pPr>
      <w:r>
        <w:rPr>
          <w:b/>
          <w:i/>
          <w:sz w:val="22"/>
        </w:rPr>
        <w:t xml:space="preserve">Comment (R1-3): </w:t>
      </w:r>
      <w:r>
        <w:rPr>
          <w:b w:val="0"/>
          <w:i/>
          <w:sz w:val="22"/>
        </w:rPr>
        <w:t>The conclusions are dominated by a simple synthetic task, and the gains on real datasets are small.</w:t>
      </w:r>
    </w:p>
    <w:p>
      <w:pPr>
        <w:spacing w:after="200"/>
      </w:pPr>
      <w:r>
        <w:rPr>
          <w:b/>
        </w:rPr>
        <w:t xml:space="preserve">Response: </w:t>
      </w:r>
      <w:r>
        <w:t>We agree and have repositioned the synthetic benchmark as a controlled study of optimization dynamics rather than a performance claim. The Experimental Setup now states that the synthetic task "is deliberately treated as a controlled study of optimization dynamics; its results are not claimed as evidence of universal superiority." The Abstract, Section 4.3, and the Conclusion have been rewritten so that the central claim is the regime-dependent behavior observed across ten datasets, not synthetic superiority.</w:t>
      </w:r>
    </w:p>
    <w:p>
      <w:pPr>
        <w:spacing w:after="240"/>
        <w:ind w:left="454"/>
      </w:pPr>
      <w:r>
        <w:rPr>
          <w:i/>
          <w:color w:val="1F4E79"/>
          <w:sz w:val="20"/>
        </w:rPr>
        <w:t>Revised: Abstract, Section 4.1 (synthetic setup), Section 4.3, Conclusion.</w:t>
      </w:r>
    </w:p>
    <w:p>
      <w:pPr>
        <w:spacing w:after="80"/>
      </w:pPr>
      <w:r>
        <w:rPr>
          <w:b/>
          <w:i/>
          <w:sz w:val="22"/>
        </w:rPr>
        <w:t xml:space="preserve">Comment (R1-4): </w:t>
      </w:r>
      <w:r>
        <w:rPr>
          <w:b w:val="0"/>
          <w:i/>
          <w:sz w:val="22"/>
        </w:rPr>
        <w:t>Lack of large-scale experiments (CIFAR-100, ImageNet, ViT, GLUE with BERT-base/RoBERTa, LoRA/PEFT LLM fine-tuning).</w:t>
      </w:r>
    </w:p>
    <w:p>
      <w:pPr>
        <w:spacing w:after="200"/>
      </w:pPr>
      <w:r>
        <w:rPr>
          <w:b/>
        </w:rPr>
        <w:t xml:space="preserve">Response: </w:t>
      </w:r>
      <w:r>
        <w:t>We have expanded the benchmark from 8 to 10 datasets, adding CIFAR-100 (from-scratch) and fine-tuning of SST-2 and MRPC on BERT-base, which serves as the larger pretrained model representative requested. The remaining scale limits are now honestly discussed in Section 4.8 (Limitations and Future Work): ImageNet, Vision Transformers, full GLUE with RoBERTa, and LoRA/PEFT-based LLM fine-tuning are listed as future work, together with the discussion of which conclusions are expected to extrapolate and which require further validation.</w:t>
      </w:r>
    </w:p>
    <w:p>
      <w:pPr>
        <w:spacing w:after="240"/>
        <w:ind w:left="454"/>
      </w:pPr>
      <w:r>
        <w:rPr>
          <w:i/>
          <w:color w:val="1F4E79"/>
          <w:sz w:val="20"/>
        </w:rPr>
        <w:t>Revised: Section 4.1 (CIFAR-100, SST-2/MRPC BERT-base), Section 4.8 (Limitations and Future Work).</w:t>
      </w:r>
    </w:p>
    <w:p>
      <w:pPr>
        <w:spacing w:after="80"/>
      </w:pPr>
      <w:r>
        <w:rPr>
          <w:b/>
          <w:i/>
          <w:sz w:val="22"/>
        </w:rPr>
        <w:t xml:space="preserve">Comment (R1-5): </w:t>
      </w:r>
      <w:r>
        <w:rPr>
          <w:b w:val="0"/>
          <w:i/>
          <w:sz w:val="22"/>
        </w:rPr>
        <w:t>No tuning budget is stated, and using the same learning rate for all methods on fine-tuning is not a fair comparison (SAM, Lion, LARS, and Lookahead are hyperparameter-sensitive).</w:t>
      </w:r>
    </w:p>
    <w:p>
      <w:pPr>
        <w:spacing w:after="200"/>
      </w:pPr>
      <w:r>
        <w:rPr>
          <w:b/>
        </w:rPr>
        <w:t xml:space="preserve">Response: </w:t>
      </w:r>
      <w:r>
        <w:t>We thank the reviewer for this concern. Section 4.1 now includes a dedicated "Hyperparameters and tuning protocol" that states each strategy uses its canonical hyperparameters from the original papers, and explicitly acknowledges that the "single canonical setting per optimizer" protocol is not a fully fair comparison because several methods are sensitive to hyperparameter choices. We state that an equal-budget grid-search protocol (same number of trials over learning rate, weight decay, momentum/beta, warmup ratio, and scheduler-specific parameters, with selection on a validation split) is planned, and this limitation is also acknowledged in Section 4.8.</w:t>
      </w:r>
    </w:p>
    <w:p>
      <w:pPr>
        <w:spacing w:after="240"/>
        <w:ind w:left="454"/>
      </w:pPr>
      <w:r>
        <w:rPr>
          <w:i/>
          <w:color w:val="1F4E79"/>
          <w:sz w:val="20"/>
        </w:rPr>
        <w:t>Revised: Section 4.1 "Hyperparameters and tuning protocol"; Section 4.8 (Hyperparameter fairness).</w:t>
      </w:r>
    </w:p>
    <w:p>
      <w:pPr>
        <w:spacing w:after="80"/>
      </w:pPr>
      <w:r>
        <w:rPr>
          <w:b/>
          <w:i/>
          <w:sz w:val="22"/>
        </w:rPr>
        <w:t xml:space="preserve">Comment (R1-6): </w:t>
      </w:r>
      <w:r>
        <w:rPr>
          <w:b w:val="0"/>
          <w:i/>
          <w:sz w:val="22"/>
        </w:rPr>
        <w:t>The term "catastrophic failure" for STLR+Discriminative is too strong; this recipe was not designed for from-scratch training.</w:t>
      </w:r>
    </w:p>
    <w:p>
      <w:pPr>
        <w:spacing w:after="200"/>
      </w:pPr>
      <w:r>
        <w:rPr>
          <w:b/>
        </w:rPr>
        <w:t xml:space="preserve">Response: </w:t>
      </w:r>
      <w:r>
        <w:t>We agree. The terms "catastrophic failure" and "total collapse" have been removed throughout the manuscript and replaced with "substantial degradation". We also note that STLR+Discriminative is a fine-tuning-oriented recipe that is not expected to be robust across all fine-tuning configurations, and we clarify that the observed degradation is a fine-tuning observation (not a from-scratch failure).</w:t>
      </w:r>
    </w:p>
    <w:p>
      <w:pPr>
        <w:spacing w:after="240"/>
        <w:ind w:left="454"/>
      </w:pPr>
      <w:r>
        <w:rPr>
          <w:i/>
          <w:color w:val="1F4E79"/>
          <w:sz w:val="20"/>
        </w:rPr>
        <w:t>Revised: Abstract, Highlights, Section 4.3, Conclusion.</w:t>
      </w:r>
    </w:p>
    <w:p>
      <w:pPr>
        <w:spacing w:after="80"/>
      </w:pPr>
      <w:r>
        <w:rPr>
          <w:b/>
          <w:i/>
          <w:sz w:val="22"/>
        </w:rPr>
        <w:t xml:space="preserve">Comment (R1-7): </w:t>
      </w:r>
      <w:r>
        <w:rPr>
          <w:b w:val="0"/>
          <w:i/>
          <w:sz w:val="22"/>
        </w:rPr>
        <w:t>Contradiction in the training regime: TREC-6 is described as from-scratch in the text but is a fine-tuning task in the table.</w:t>
      </w:r>
    </w:p>
    <w:p>
      <w:pPr>
        <w:spacing w:after="200"/>
      </w:pPr>
      <w:r>
        <w:rPr>
          <w:b/>
        </w:rPr>
        <w:t xml:space="preserve">Response: </w:t>
      </w:r>
      <w:r>
        <w:t>We have corrected this throughout the manuscript. Section 4.1 now explicitly clarifies that all NLP tasks (RTE, TREC-6, IMDb, SST-2, MRPC) use pretrained weights and are fine-tuning experiments, and the STLR+Discriminative degradation is consistently described as a fine-tuning observation (Section 4.3 and Conclusion).</w:t>
      </w:r>
    </w:p>
    <w:p>
      <w:pPr>
        <w:spacing w:after="240"/>
        <w:ind w:left="454"/>
      </w:pPr>
      <w:r>
        <w:rPr>
          <w:i/>
          <w:color w:val="1F4E79"/>
          <w:sz w:val="20"/>
        </w:rPr>
        <w:t>Revised: Section 4.1, Section 4.3, Conclusion.</w:t>
      </w:r>
    </w:p>
    <w:p>
      <w:pPr>
        <w:spacing w:after="80"/>
      </w:pPr>
      <w:r>
        <w:rPr>
          <w:b/>
          <w:i/>
          <w:sz w:val="22"/>
        </w:rPr>
        <w:t xml:space="preserve">Comment (R1-8): </w:t>
      </w:r>
      <w:r>
        <w:rPr>
          <w:b w:val="0"/>
          <w:i/>
          <w:sz w:val="22"/>
        </w:rPr>
        <w:t>An ablation study is missing (variants without Grokfast, without trust ratio, without phase, without depth, and fixed-parameter controls).</w:t>
      </w:r>
    </w:p>
    <w:p>
      <w:pPr>
        <w:spacing w:after="200"/>
      </w:pPr>
      <w:r>
        <w:rPr>
          <w:b/>
        </w:rPr>
        <w:t xml:space="preserve">Response: </w:t>
      </w:r>
      <w:r>
        <w:t>We have added Section 4.4 "Ablation Study". Nine DALS variants were trained on the synthetic and CIFAR-10 benchmarks with five seeds: cosine only, trust only, filter only, phase only, depth only, cosine+trust, cosine+filter, filter+trust, and full DALS. The results show that the warmup-cosine schedule is the most critical component (all variants that include it reach stable 82.5%-85.0% accuracy on CIFAR-10 with standard deviations below 0.5, whereas variants without it drop to 32.4%-52.0% with high cross-seed variance), and that full DALS provides the most balanced behavior across the two benchmarks.</w:t>
      </w:r>
    </w:p>
    <w:p>
      <w:pPr>
        <w:spacing w:after="240"/>
        <w:ind w:left="454"/>
      </w:pPr>
      <w:r>
        <w:rPr>
          <w:i/>
          <w:color w:val="1F4E79"/>
          <w:sz w:val="20"/>
        </w:rPr>
        <w:t>Revised: Section 4.4 "Ablation Study".</w:t>
      </w:r>
    </w:p>
    <w:p>
      <w:pPr>
        <w:spacing w:after="80"/>
      </w:pPr>
      <w:r>
        <w:rPr>
          <w:b/>
          <w:i/>
          <w:sz w:val="22"/>
        </w:rPr>
        <w:t xml:space="preserve">Comment (R1-9): </w:t>
      </w:r>
      <w:r>
        <w:rPr>
          <w:b w:val="0"/>
          <w:i/>
          <w:sz w:val="22"/>
        </w:rPr>
        <w:t>The five-generation taxonomy is oversimplified and omits methods such as AdaDelta, AdaBelief, NovoGrad, Yogi, Shampoo, and Muon.</w:t>
      </w:r>
    </w:p>
    <w:p>
      <w:pPr>
        <w:spacing w:after="200"/>
      </w:pPr>
      <w:r>
        <w:rPr>
          <w:b/>
        </w:rPr>
        <w:t xml:space="preserve">Response: </w:t>
      </w:r>
      <w:r>
        <w:t>We have reframed the taxonomy as an organizational viewpoint rather than a definitive historical progression. Section 1 now states that many methods cut across several generations and are discussed where they fit best conceptually, and that the generation boundaries in Fig. 2 are approximate. The related-work section discusses these methods accordingly, and an orthogonal classification is offered as future work in Section 4.8.</w:t>
      </w:r>
    </w:p>
    <w:p>
      <w:pPr>
        <w:spacing w:after="240"/>
        <w:ind w:left="454"/>
      </w:pPr>
      <w:r>
        <w:rPr>
          <w:i/>
          <w:color w:val="1F4E79"/>
          <w:sz w:val="20"/>
        </w:rPr>
        <w:t>Revised: Section 1, Section 2, Section 4.8 (Taxonomy).</w:t>
      </w:r>
    </w:p>
    <w:p>
      <w:pPr>
        <w:spacing w:after="80"/>
      </w:pPr>
      <w:r>
        <w:rPr>
          <w:b/>
          <w:i/>
          <w:sz w:val="22"/>
        </w:rPr>
        <w:t xml:space="preserve">Comment (R1-10): </w:t>
      </w:r>
      <w:r>
        <w:rPr>
          <w:b w:val="0"/>
          <w:i/>
          <w:sz w:val="22"/>
        </w:rPr>
        <w:t>Statistical significance is missing: no multiple seeds, no mean +/- std, no confidence intervals.</w:t>
      </w:r>
    </w:p>
    <w:p>
      <w:pPr>
        <w:spacing w:after="200"/>
      </w:pPr>
      <w:r>
        <w:rPr>
          <w:b/>
        </w:rPr>
        <w:t xml:space="preserve">Response: </w:t>
      </w:r>
      <w:r>
        <w:t>All results are now reported as mean +/- std over five fixed seeds (42, 1337, 2024, 5555, 9999) with 95% confidence intervals (Table 2 caption). Paired t-tests and bootstrap confidence intervals are used to assess the significance of the differences between each DALS variant and the baselines, as described in Section 4.1 ("Statistical significance"). We acknowledge in Section 4.8 that five seeds remains a relatively limited number and that stronger conclusions await larger multi-seed studies.</w:t>
      </w:r>
    </w:p>
    <w:p>
      <w:pPr>
        <w:spacing w:after="240"/>
        <w:ind w:left="454"/>
      </w:pPr>
      <w:r>
        <w:rPr>
          <w:i/>
          <w:color w:val="1F4E79"/>
          <w:sz w:val="20"/>
        </w:rPr>
        <w:t>Revised: Section 4.1 (Statistical significance), Table 2 caption, Section 4.8.</w:t>
      </w:r>
    </w:p>
    <w:p>
      <w:pPr>
        <w:spacing w:after="80"/>
      </w:pPr>
      <w:r>
        <w:rPr>
          <w:b/>
          <w:i/>
          <w:sz w:val="22"/>
        </w:rPr>
        <w:t xml:space="preserve">Comment (R1-11): </w:t>
      </w:r>
      <w:r>
        <w:rPr>
          <w:b w:val="0"/>
          <w:i/>
          <w:sz w:val="22"/>
        </w:rPr>
        <w:t>Typo: "This research systematize" should be "systematizes".</w:t>
      </w:r>
    </w:p>
    <w:p>
      <w:pPr>
        <w:spacing w:after="200"/>
      </w:pPr>
      <w:r>
        <w:rPr>
          <w:b/>
        </w:rPr>
        <w:t xml:space="preserve">Response: </w:t>
      </w:r>
      <w:r>
        <w:t>Corrected. The Abstract now reads "This research systematizes ...".</w:t>
      </w:r>
    </w:p>
    <w:p>
      <w:pPr>
        <w:spacing w:after="240"/>
        <w:ind w:left="454"/>
      </w:pPr>
      <w:r>
        <w:rPr>
          <w:i/>
          <w:color w:val="1F4E79"/>
          <w:sz w:val="20"/>
        </w:rPr>
        <w:t>Revised: Abstract.</w:t>
      </w:r>
    </w:p>
    <w:p>
      <w:pPr>
        <w:spacing w:after="80"/>
      </w:pPr>
      <w:r>
        <w:rPr>
          <w:b/>
          <w:i/>
          <w:sz w:val="22"/>
        </w:rPr>
        <w:t xml:space="preserve">Comment (R1-12): </w:t>
      </w:r>
      <w:r>
        <w:rPr>
          <w:b w:val="0"/>
          <w:i/>
          <w:sz w:val="22"/>
        </w:rPr>
        <w:t>Promotional wording such as "natural culmination" and "champion" should be softened.</w:t>
      </w:r>
    </w:p>
    <w:p>
      <w:pPr>
        <w:spacing w:after="200"/>
      </w:pPr>
      <w:r>
        <w:rPr>
          <w:b/>
        </w:rPr>
        <w:t xml:space="preserve">Response: </w:t>
      </w:r>
      <w:r>
        <w:t>We have removed promotional language throughout. The term "impossible trinity" is avoided (it has unrelated established meanings in finance and linguistics) and is replaced by the layer-wise update conflict. Claims about DALS are now calibrated (e.g., "competitive", "balanced") rather than superlative, and the Highlights, Section 4.3, and the Conclusion explicitly state that DALS does not consistently outperform the strongest baselines.</w:t>
      </w:r>
    </w:p>
    <w:p>
      <w:pPr>
        <w:spacing w:after="240"/>
        <w:ind w:left="454"/>
      </w:pPr>
      <w:r>
        <w:rPr>
          <w:i/>
          <w:color w:val="1F4E79"/>
          <w:sz w:val="20"/>
        </w:rPr>
        <w:t>Revised: Abstract, Highlights, Section 1, Section 4.3, Conclusion.</w:t>
      </w:r>
    </w:p>
    <w:p>
      <w:pPr>
        <w:spacing w:after="80"/>
      </w:pPr>
      <w:r>
        <w:rPr>
          <w:b/>
          <w:i/>
          <w:sz w:val="22"/>
        </w:rPr>
        <w:t xml:space="preserve">Comment (R1-13): </w:t>
      </w:r>
      <w:r>
        <w:rPr>
          <w:b w:val="0"/>
          <w:i/>
          <w:sz w:val="22"/>
        </w:rPr>
        <w:t>The Gen5+ label is subjective and lacks justification.</w:t>
      </w:r>
    </w:p>
    <w:p>
      <w:pPr>
        <w:spacing w:after="200"/>
      </w:pPr>
      <w:r>
        <w:rPr>
          <w:b/>
        </w:rPr>
        <w:t xml:space="preserve">Response: </w:t>
      </w:r>
      <w:r>
        <w:t>We have clarified that the Gen5+ label is a proposal of the present paper rather than an established categorization, and we define its criterion (methods that combine layer-aware gradient processing with temporal scheduling, such as Grokfast and DALS).</w:t>
      </w:r>
    </w:p>
    <w:p>
      <w:pPr>
        <w:spacing w:after="240"/>
        <w:ind w:left="454"/>
      </w:pPr>
      <w:r>
        <w:rPr>
          <w:i/>
          <w:color w:val="1F4E79"/>
          <w:sz w:val="20"/>
        </w:rPr>
        <w:t>Revised: Section 1 (taxonomy item Gen5+).</w:t>
      </w:r>
    </w:p>
    <w:p>
      <w:pPr>
        <w:spacing w:after="80"/>
      </w:pPr>
      <w:r>
        <w:rPr>
          <w:b/>
          <w:i/>
          <w:sz w:val="22"/>
        </w:rPr>
        <w:t xml:space="preserve">Comment (R1-14): </w:t>
      </w:r>
      <w:r>
        <w:rPr>
          <w:b w:val="0"/>
          <w:i/>
          <w:sz w:val="22"/>
        </w:rPr>
        <w:t>The timeline in Figure 2 is subjective and the methods overlap.</w:t>
      </w:r>
    </w:p>
    <w:p>
      <w:pPr>
        <w:spacing w:after="200"/>
      </w:pPr>
      <w:r>
        <w:rPr>
          <w:b/>
        </w:rPr>
        <w:t xml:space="preserve">Response: </w:t>
      </w:r>
      <w:r>
        <w:t>The caption of Figure 2 now states that it is an "approximate, conceptual timeline", and Section 1 notes that the generation boundaries are approximate and intended for conceptual illustration.</w:t>
      </w:r>
    </w:p>
    <w:p>
      <w:pPr>
        <w:spacing w:after="240"/>
        <w:ind w:left="454"/>
      </w:pPr>
      <w:r>
        <w:rPr>
          <w:i/>
          <w:color w:val="1F4E79"/>
          <w:sz w:val="20"/>
        </w:rPr>
        <w:t>Revised: Fig. 2 caption, Section 1.</w:t>
      </w:r>
    </w:p>
    <w:p>
      <w:pPr>
        <w:spacing w:after="80"/>
      </w:pPr>
      <w:r>
        <w:rPr>
          <w:b/>
          <w:i/>
          <w:sz w:val="22"/>
        </w:rPr>
        <w:t xml:space="preserve">Comment (R1-15): </w:t>
      </w:r>
      <w:r>
        <w:rPr>
          <w:b w:val="0"/>
          <w:i/>
          <w:sz w:val="22"/>
        </w:rPr>
        <w:t>A computational-cost analysis is missing.</w:t>
      </w:r>
    </w:p>
    <w:p>
      <w:pPr>
        <w:spacing w:after="200"/>
      </w:pPr>
      <w:r>
        <w:rPr>
          <w:b/>
        </w:rPr>
        <w:t xml:space="preserve">Response: </w:t>
      </w:r>
      <w:r>
        <w:t>We have added Section 4.5 "Efficiency Analysis". It reports, averaged over five seeds, the wall-clock time, peak GPU memory, and throughput on each dataset (e.g., on CIFAR-10, DALS takes 465.0 s / 225 MB on average whereas SGDR takes 305.4 s / 199 MB). The overhead of DALS is attributed to the per-layer EMA buffers and the blending arithmetic, while phase detection is a scalar comparison per step and is negligible.</w:t>
      </w:r>
    </w:p>
    <w:p>
      <w:pPr>
        <w:spacing w:after="240"/>
        <w:ind w:left="454"/>
      </w:pPr>
      <w:r>
        <w:rPr>
          <w:i/>
          <w:color w:val="1F4E79"/>
          <w:sz w:val="20"/>
        </w:rPr>
        <w:t>Revised: Section 4.5 "Efficiency Analysis".</w:t>
      </w:r>
    </w:p>
    <w:p>
      <w:pPr>
        <w:pStyle w:val="Heading1"/>
      </w:pPr>
      <w:r>
        <w:t>Response to Reviewer #2</w:t>
      </w:r>
    </w:p>
    <w:p>
      <w:pPr>
        <w:spacing w:after="80"/>
      </w:pPr>
      <w:r>
        <w:rPr>
          <w:b/>
          <w:i/>
          <w:sz w:val="22"/>
        </w:rPr>
        <w:t xml:space="preserve">Comment (R2-1): </w:t>
      </w:r>
      <w:r>
        <w:rPr>
          <w:b w:val="0"/>
          <w:i/>
          <w:sz w:val="22"/>
        </w:rPr>
        <w:t>The convergence speed reported in Table 3 is not sufficiently integrated into the Discussion.</w:t>
      </w:r>
    </w:p>
    <w:p>
      <w:pPr>
        <w:spacing w:after="200"/>
      </w:pPr>
      <w:r>
        <w:rPr>
          <w:b/>
        </w:rPr>
        <w:t xml:space="preserve">Response: </w:t>
      </w:r>
      <w:r>
        <w:t>We thank the reviewer for this suggestion. Because the per-epoch accuracy traces from the original synthetic runs were not retained and could not be independently verified, we removed the epochs-to-threshold table in the revision rather than reporting numbers without a verifiable source. Convergence-related discussion now relies on the efficiency analysis (Section 4.5), which reports wall-clock time, peak GPU memory, and throughput derived directly from the retained run logs.</w:t>
      </w:r>
    </w:p>
    <w:p>
      <w:pPr>
        <w:spacing w:after="240"/>
        <w:ind w:left="454"/>
      </w:pPr>
      <w:r>
        <w:rPr>
          <w:i/>
          <w:color w:val="1F4E79"/>
          <w:sz w:val="20"/>
        </w:rPr>
        <w:t>Revised: Section 4.3 ("Convergence speed"); Section 4.5 "Efficiency Analysis".</w:t>
      </w:r>
    </w:p>
    <w:p>
      <w:pPr>
        <w:spacing w:after="80"/>
      </w:pPr>
      <w:r>
        <w:rPr>
          <w:b/>
          <w:i/>
          <w:sz w:val="22"/>
        </w:rPr>
        <w:t xml:space="preserve">Comment (R2-2): </w:t>
      </w:r>
      <w:r>
        <w:rPr>
          <w:b w:val="0"/>
          <w:i/>
          <w:sz w:val="22"/>
        </w:rPr>
        <w:t>The text (9 epochs) is inconsistent with Table 3 (3 epochs) for base DALS.</w:t>
      </w:r>
    </w:p>
    <w:p>
      <w:pPr>
        <w:spacing w:after="200"/>
      </w:pPr>
      <w:r>
        <w:rPr>
          <w:b/>
        </w:rPr>
        <w:t xml:space="preserve">Response: </w:t>
      </w:r>
      <w:r>
        <w:t>We agree that the previously reported epochs-to-threshold values could not be traced to a retained data source. In the revision we have therefore removed the convergence table and all claims about specific epochs-to-threshold values, and convergence is now discussed only through the efficiency analysis (Section 4.5), which is fully traceable to the run logs.</w:t>
      </w:r>
    </w:p>
    <w:p>
      <w:pPr>
        <w:spacing w:after="240"/>
        <w:ind w:left="454"/>
      </w:pPr>
      <w:r>
        <w:rPr>
          <w:i/>
          <w:color w:val="1F4E79"/>
          <w:sz w:val="20"/>
        </w:rPr>
        <w:t>Revised: Section 4.3 ("Convergence speed"); Section 4.5 "Efficiency Analysis".</w:t>
      </w:r>
    </w:p>
    <w:p>
      <w:pPr>
        <w:spacing w:after="80"/>
      </w:pPr>
      <w:r>
        <w:rPr>
          <w:b/>
          <w:i/>
          <w:sz w:val="22"/>
        </w:rPr>
        <w:t xml:space="preserve">Comment (R2-3): </w:t>
      </w:r>
      <w:r>
        <w:rPr>
          <w:b w:val="0"/>
          <w:i/>
          <w:sz w:val="22"/>
        </w:rPr>
        <w:t>The experiments are limited to an MLP, a ConvNet, and DistilBERT; generalization is limited.</w:t>
      </w:r>
    </w:p>
    <w:p>
      <w:pPr>
        <w:spacing w:after="200"/>
      </w:pPr>
      <w:r>
        <w:rPr>
          <w:b/>
        </w:rPr>
        <w:t xml:space="preserve">Response: </w:t>
      </w:r>
      <w:r>
        <w:t>We have expanded the evaluation to ten datasets, adding CIFAR-100 (from-scratch) and BERT-base fine-tuning of SST-2 and MRPC as a larger pretrained model. The remaining generalization limits are acknowledged in Section 4.8, and larger models and tasks (ImageNet, Vision Transformers, RoBERTa/GLUE, LoRA/PEFT LLM fine-tuning) are listed as future work.</w:t>
      </w:r>
    </w:p>
    <w:p>
      <w:pPr>
        <w:spacing w:after="240"/>
        <w:ind w:left="454"/>
      </w:pPr>
      <w:r>
        <w:rPr>
          <w:i/>
          <w:color w:val="1F4E79"/>
          <w:sz w:val="20"/>
        </w:rPr>
        <w:t>Revised: Section 4.1 (new datasets), Section 4.8 (Limitations and Future Work).</w:t>
      </w:r>
    </w:p>
    <w:p>
      <w:pPr>
        <w:spacing w:after="80"/>
      </w:pPr>
      <w:r>
        <w:rPr>
          <w:b/>
          <w:i/>
          <w:sz w:val="22"/>
        </w:rPr>
        <w:t xml:space="preserve">Comment (R2-4): </w:t>
      </w:r>
      <w:r>
        <w:rPr>
          <w:b w:val="0"/>
          <w:i/>
          <w:sz w:val="22"/>
        </w:rPr>
        <w:t>DALS does not consistently outperform RAdam/AdamW/Lookahead.</w:t>
      </w:r>
    </w:p>
    <w:p>
      <w:pPr>
        <w:spacing w:after="200"/>
      </w:pPr>
      <w:r>
        <w:rPr>
          <w:b/>
        </w:rPr>
        <w:t xml:space="preserve">Response: </w:t>
      </w:r>
      <w:r>
        <w:t>We fully agree, and we do not claim universal superiority. We have added a "DALS vs. strongest baselines" paragraph in Section 4.3 that objectively discusses the trade-off: on fine-tuning, RAdam (RTE 60.4%, IMDb 87.2%) and Lookahead/Lion (TREC-6 96.6%-96.7%) remain ahead, while DALS offers consistent from-scratch behavior and flexible Fast/Acc variants. The Conclusion states that DALS is not a universal replacement for adaptive methods on fine-tuning.</w:t>
      </w:r>
    </w:p>
    <w:p>
      <w:pPr>
        <w:spacing w:after="240"/>
        <w:ind w:left="454"/>
      </w:pPr>
      <w:r>
        <w:rPr>
          <w:i/>
          <w:color w:val="1F4E79"/>
          <w:sz w:val="20"/>
        </w:rPr>
        <w:t>Revised: Section 4.3 "DALS vs. strongest baselines"; Conclusion.</w:t>
      </w:r>
    </w:p>
    <w:p>
      <w:pPr>
        <w:spacing w:after="80"/>
      </w:pPr>
      <w:r>
        <w:rPr>
          <w:b/>
          <w:i/>
          <w:sz w:val="22"/>
        </w:rPr>
        <w:t xml:space="preserve">Comment (R2-5): </w:t>
      </w:r>
      <w:r>
        <w:rPr>
          <w:b w:val="0"/>
          <w:i/>
          <w:sz w:val="22"/>
        </w:rPr>
        <w:t>Recent literature on optimizer selection and transformer fine-tuning should be cited.</w:t>
      </w:r>
    </w:p>
    <w:p>
      <w:pPr>
        <w:spacing w:after="200"/>
      </w:pPr>
      <w:r>
        <w:rPr>
          <w:b/>
        </w:rPr>
        <w:t xml:space="preserve">Response: </w:t>
      </w:r>
      <w:r>
        <w:t>We have added the relevant recent references, including Grokfast (Lee et al., 2024), Schedule-Free (Defazio et al., 2024), Lion (Chen et al., 2023), LoRA (Hu et al., 2022), and GaLore (Zhao et al., 2024), and we discuss their relationship to learning-rate engineering in Section 3.7.</w:t>
      </w:r>
    </w:p>
    <w:p>
      <w:pPr>
        <w:spacing w:after="240"/>
        <w:ind w:left="454"/>
      </w:pPr>
      <w:r>
        <w:rPr>
          <w:i/>
          <w:color w:val="1F4E79"/>
          <w:sz w:val="20"/>
        </w:rPr>
        <w:t>Revised: references.bib; Section 3.7.</w:t>
      </w:r>
    </w:p>
    <w:p>
      <w:pPr>
        <w:pStyle w:val="Heading1"/>
      </w:pPr>
      <w:r>
        <w:t>Response to Reviewer #4</w:t>
      </w:r>
    </w:p>
    <w:p>
      <w:pPr>
        <w:spacing w:after="80"/>
      </w:pPr>
      <w:r>
        <w:rPr>
          <w:b/>
          <w:i/>
          <w:sz w:val="22"/>
        </w:rPr>
        <w:t xml:space="preserve">Comment (R4-1): </w:t>
      </w:r>
      <w:r>
        <w:rPr>
          <w:b w:val="0"/>
          <w:i/>
          <w:sz w:val="22"/>
        </w:rPr>
        <w:t>Core factual contradiction: RTE/TREC-6/IMDb are fine-tuning tasks, but the Abstract treats the STLR+Discriminative result (43.6% on TREC-6) as a from-scratch failure.</w:t>
      </w:r>
    </w:p>
    <w:p>
      <w:pPr>
        <w:spacing w:after="200"/>
      </w:pPr>
      <w:r>
        <w:rPr>
          <w:b/>
        </w:rPr>
        <w:t xml:space="preserve">Response: </w:t>
      </w:r>
      <w:r>
        <w:t>We sincerely thank the reviewer for identifying this serious error. We have corrected the entire manuscript: all NLP tasks are now explicitly described as DistilBERT/BERT-base fine-tuning experiments, the "without pretrained features" argument has been removed, and the STLR+Discriminative degradation is described as a fine-tuning observation. In the re-run benchmark, STLR+Discriminative achieves 36.4% on TREC-6 (Table 2), which we interpret as a mismatch between the strength of directional decay and the alignment of the pretrained features with the target labels.</w:t>
      </w:r>
    </w:p>
    <w:p>
      <w:pPr>
        <w:spacing w:after="240"/>
        <w:ind w:left="454"/>
      </w:pPr>
      <w:r>
        <w:rPr>
          <w:i/>
          <w:color w:val="1F4E79"/>
          <w:sz w:val="20"/>
        </w:rPr>
        <w:t>Revised: Abstract, Section 4.1, Section 4.3, Conclusion.</w:t>
      </w:r>
    </w:p>
    <w:p>
      <w:pPr>
        <w:spacing w:after="80"/>
      </w:pPr>
      <w:r>
        <w:rPr>
          <w:b/>
          <w:i/>
          <w:sz w:val="22"/>
        </w:rPr>
        <w:t xml:space="preserve">Comment (R4-2): </w:t>
      </w:r>
      <w:r>
        <w:rPr>
          <w:b w:val="0"/>
          <w:i/>
          <w:sz w:val="22"/>
        </w:rPr>
        <w:t>The reported performance ranges are wrong (e.g., DALS 59.2-98.0 was written as 90.1-98.0).</w:t>
      </w:r>
    </w:p>
    <w:p>
      <w:pPr>
        <w:spacing w:after="200"/>
      </w:pPr>
      <w:r>
        <w:rPr>
          <w:b/>
        </w:rPr>
        <w:t xml:space="preserve">Response: </w:t>
      </w:r>
      <w:r>
        <w:t>Corrected. Section 4.3 now reports the full cross-dataset ranges: Discriminative LR spans 38.8% (TREC-6) to 97.9% (synthetic), a 59.1-point spread, and DALS spans 53.0% (CIFAR-100) to 97.5% (synthetic), a 44.5-point spread. The manuscript explicitly notes that earlier drafts reported narrower ranges by selectively excluding difficult datasets, and that these selective ranges were misleading and have been corrected.</w:t>
      </w:r>
    </w:p>
    <w:p>
      <w:pPr>
        <w:spacing w:after="240"/>
        <w:ind w:left="454"/>
      </w:pPr>
      <w:r>
        <w:rPr>
          <w:i/>
          <w:color w:val="1F4E79"/>
          <w:sz w:val="20"/>
        </w:rPr>
        <w:t>Revised: Section 4.3 (DALS: balanced across regimes).</w:t>
      </w:r>
    </w:p>
    <w:p>
      <w:pPr>
        <w:spacing w:after="80"/>
      </w:pPr>
      <w:r>
        <w:rPr>
          <w:b/>
          <w:i/>
          <w:sz w:val="22"/>
        </w:rPr>
        <w:t xml:space="preserve">Comment (R4-3): </w:t>
      </w:r>
      <w:r>
        <w:rPr>
          <w:b w:val="0"/>
          <w:i/>
          <w:sz w:val="22"/>
        </w:rPr>
        <w:t>The convergence speed is inconsistent between Table 3 (3 epochs) and the text (9 epochs).</w:t>
      </w:r>
    </w:p>
    <w:p>
      <w:pPr>
        <w:spacing w:after="200"/>
      </w:pPr>
      <w:r>
        <w:rPr>
          <w:b/>
        </w:rPr>
        <w:t xml:space="preserve">Response: </w:t>
      </w:r>
      <w:r>
        <w:t>This is the same point as R2-2. The epochs-to-threshold table and the associated "3 epochs"/"9 epochs" claims have been removed because the underlying per-epoch traces could not be verified; convergence is now discussed via the efficiency analysis (Section 4.5).</w:t>
      </w:r>
    </w:p>
    <w:p>
      <w:pPr>
        <w:spacing w:after="240"/>
        <w:ind w:left="454"/>
      </w:pPr>
      <w:r>
        <w:rPr>
          <w:i/>
          <w:color w:val="1F4E79"/>
          <w:sz w:val="20"/>
        </w:rPr>
        <w:t>Revised: Section 4.3 "Convergence speed".</w:t>
      </w:r>
    </w:p>
    <w:p>
      <w:pPr>
        <w:spacing w:after="80"/>
      </w:pPr>
      <w:r>
        <w:rPr>
          <w:b/>
          <w:i/>
          <w:sz w:val="22"/>
        </w:rPr>
        <w:t xml:space="preserve">Comment (R4-4): </w:t>
      </w:r>
      <w:r>
        <w:rPr>
          <w:b w:val="0"/>
          <w:i/>
          <w:sz w:val="22"/>
        </w:rPr>
        <w:t>A single seed is insufficient; 5-seed mean +/- std, 95% CI, and statistical tests are needed.</w:t>
      </w:r>
    </w:p>
    <w:p>
      <w:pPr>
        <w:spacing w:after="200"/>
      </w:pPr>
      <w:r>
        <w:rPr>
          <w:b/>
        </w:rPr>
        <w:t xml:space="preserve">Response: </w:t>
      </w:r>
      <w:r>
        <w:t>This is the same point as R1-10. All results are now reported as mean +/- std over five fixed seeds with 95% confidence intervals, and paired t-tests and bootstrap confidence intervals accompany the benchmark (Section 4.1 "Statistical significance").</w:t>
      </w:r>
    </w:p>
    <w:p>
      <w:pPr>
        <w:spacing w:after="240"/>
        <w:ind w:left="454"/>
      </w:pPr>
      <w:r>
        <w:rPr>
          <w:i/>
          <w:color w:val="1F4E79"/>
          <w:sz w:val="20"/>
        </w:rPr>
        <w:t>Revised: Section 4.1, Table 2 caption.</w:t>
      </w:r>
    </w:p>
    <w:p>
      <w:pPr>
        <w:spacing w:after="80"/>
      </w:pPr>
      <w:r>
        <w:rPr>
          <w:b/>
          <w:i/>
          <w:sz w:val="22"/>
        </w:rPr>
        <w:t xml:space="preserve">Comment (R4-5): </w:t>
      </w:r>
      <w:r>
        <w:rPr>
          <w:b w:val="0"/>
          <w:i/>
          <w:sz w:val="22"/>
        </w:rPr>
        <w:t>Selecting the model using the test set ("best test accuracy") is incorrect.</w:t>
      </w:r>
    </w:p>
    <w:p>
      <w:pPr>
        <w:spacing w:after="200"/>
      </w:pPr>
      <w:r>
        <w:rPr>
          <w:b/>
        </w:rPr>
        <w:t xml:space="preserve">Response: </w:t>
      </w:r>
      <w:r>
        <w:t>We agree. We have adopted validation-based model selection: at the end of each epoch we evaluate on a held-out validation split, keep the checkpoint with the highest validation accuracy, and evaluate that checkpoint once on the test set. This protocol is described in Section 4.1 "Model selection and reporting".</w:t>
      </w:r>
    </w:p>
    <w:p>
      <w:pPr>
        <w:spacing w:after="240"/>
        <w:ind w:left="454"/>
      </w:pPr>
      <w:r>
        <w:rPr>
          <w:i/>
          <w:color w:val="1F4E79"/>
          <w:sz w:val="20"/>
        </w:rPr>
        <w:t>Revised: Section 4.1 "Model selection and reporting".</w:t>
      </w:r>
    </w:p>
    <w:p>
      <w:pPr>
        <w:spacing w:after="80"/>
      </w:pPr>
      <w:r>
        <w:rPr>
          <w:b/>
          <w:i/>
          <w:sz w:val="22"/>
        </w:rPr>
        <w:t xml:space="preserve">Comment (R4-6): </w:t>
      </w:r>
      <w:r>
        <w:rPr>
          <w:b w:val="0"/>
          <w:i/>
          <w:sz w:val="22"/>
        </w:rPr>
        <w:t>The hyperparameter-fairness protocol is missing (same as R1-5).</w:t>
      </w:r>
    </w:p>
    <w:p>
      <w:pPr>
        <w:spacing w:after="200"/>
      </w:pPr>
      <w:r>
        <w:rPr>
          <w:b/>
        </w:rPr>
        <w:t xml:space="preserve">Response: </w:t>
      </w:r>
      <w:r>
        <w:t>We address this exactly as in R1-5: the canonical-setting protocol and its limitation are now stated in Section 4.1, together with the planned equal-budget grid-search protocol.</w:t>
      </w:r>
    </w:p>
    <w:p>
      <w:pPr>
        <w:spacing w:after="240"/>
        <w:ind w:left="454"/>
      </w:pPr>
      <w:r>
        <w:rPr>
          <w:i/>
          <w:color w:val="1F4E79"/>
          <w:sz w:val="20"/>
        </w:rPr>
        <w:t>Revised: Section 4.1 "Hyperparameters and tuning protocol".</w:t>
      </w:r>
    </w:p>
    <w:p>
      <w:pPr>
        <w:spacing w:after="80"/>
      </w:pPr>
      <w:r>
        <w:rPr>
          <w:b/>
          <w:i/>
          <w:sz w:val="22"/>
        </w:rPr>
        <w:t xml:space="preserve">Comment (R4-7): </w:t>
      </w:r>
      <w:r>
        <w:rPr>
          <w:b w:val="0"/>
          <w:i/>
          <w:sz w:val="22"/>
        </w:rPr>
        <w:t>Placing RAdam/Lookahead/SAM/Lion/Adafactor/Schedule-Free in Generation 5 is questionable; an orthogonal classification is suggested.</w:t>
      </w:r>
    </w:p>
    <w:p>
      <w:pPr>
        <w:spacing w:after="200"/>
      </w:pPr>
      <w:r>
        <w:rPr>
          <w:b/>
        </w:rPr>
        <w:t xml:space="preserve">Response: </w:t>
      </w:r>
      <w:r>
        <w:t>We have reframed the five-generation scheme as an organizational viewpoint rather than a definitive classification (Section 1). In Section 4.8 we explicitly state that an orthogonal taxonomy along four axes (spatial granularity, temporal scheduling, gradient processing, and update normalization) could be more defensible and is left for future work, and we define Gen5+ as a proposal of the present paper (Section 1).</w:t>
      </w:r>
    </w:p>
    <w:p>
      <w:pPr>
        <w:spacing w:after="240"/>
        <w:ind w:left="454"/>
      </w:pPr>
      <w:r>
        <w:rPr>
          <w:i/>
          <w:color w:val="1F4E79"/>
          <w:sz w:val="20"/>
        </w:rPr>
        <w:t>Revised: Section 1, Section 4.8 (Taxonomy).</w:t>
      </w:r>
    </w:p>
    <w:p>
      <w:pPr>
        <w:spacing w:after="80"/>
      </w:pPr>
      <w:r>
        <w:rPr>
          <w:b/>
          <w:i/>
          <w:sz w:val="22"/>
        </w:rPr>
        <w:t xml:space="preserve">Comment (R4-8): </w:t>
      </w:r>
      <w:r>
        <w:rPr>
          <w:b w:val="0"/>
          <w:i/>
          <w:sz w:val="22"/>
        </w:rPr>
        <w:t>The LARS citation is misattributed (it should be You, Gitman, and Ginsburg).</w:t>
      </w:r>
    </w:p>
    <w:p>
      <w:pPr>
        <w:spacing w:after="200"/>
      </w:pPr>
      <w:r>
        <w:rPr>
          <w:b/>
        </w:rPr>
        <w:t xml:space="preserve">Response: </w:t>
      </w:r>
      <w:r>
        <w:t>Corrected. The reference is now cited as you2019lars: You, Gitman, and Ginsburg, "Large Batch Training of Convolutional Networks with Layer-wise Adaptive Rate Scaling".</w:t>
      </w:r>
    </w:p>
    <w:p>
      <w:pPr>
        <w:spacing w:after="240"/>
        <w:ind w:left="454"/>
      </w:pPr>
      <w:r>
        <w:rPr>
          <w:i/>
          <w:color w:val="1F4E79"/>
          <w:sz w:val="20"/>
        </w:rPr>
        <w:t>Revised: references.bib (you2019lars), Section 2.4.</w:t>
      </w:r>
    </w:p>
    <w:p>
      <w:pPr>
        <w:spacing w:after="80"/>
      </w:pPr>
      <w:r>
        <w:rPr>
          <w:b/>
          <w:i/>
          <w:sz w:val="22"/>
        </w:rPr>
        <w:t xml:space="preserve">Comment (R4-9): </w:t>
      </w:r>
      <w:r>
        <w:rPr>
          <w:b w:val="0"/>
          <w:i/>
          <w:sz w:val="22"/>
        </w:rPr>
        <w:t>A complete ablation study including pairwise combinations is needed (same as R1-8).</w:t>
      </w:r>
    </w:p>
    <w:p>
      <w:pPr>
        <w:spacing w:after="200"/>
      </w:pPr>
      <w:r>
        <w:rPr>
          <w:b/>
        </w:rPr>
        <w:t xml:space="preserve">Response: </w:t>
      </w:r>
      <w:r>
        <w:t>We address this exactly as in R1-8. Section 4.4 now reports the full ablation matrix of nine variants (including the pairwise combinations cosine+trust, cosine+filter, and filter+trust) trained with five seeds on the synthetic and CIFAR-10 benchmarks.</w:t>
      </w:r>
    </w:p>
    <w:p>
      <w:pPr>
        <w:spacing w:after="240"/>
        <w:ind w:left="454"/>
      </w:pPr>
      <w:r>
        <w:rPr>
          <w:i/>
          <w:color w:val="1F4E79"/>
          <w:sz w:val="20"/>
        </w:rPr>
        <w:t>Revised: Section 4.4 "Ablation Study".</w:t>
      </w:r>
    </w:p>
    <w:p>
      <w:pPr>
        <w:spacing w:after="80"/>
      </w:pPr>
      <w:r>
        <w:rPr>
          <w:b/>
          <w:i/>
          <w:sz w:val="22"/>
        </w:rPr>
        <w:t xml:space="preserve">Comment (R4-10): </w:t>
      </w:r>
      <w:r>
        <w:rPr>
          <w:b w:val="0"/>
          <w:i/>
          <w:sz w:val="22"/>
        </w:rPr>
        <w:t>"Phase-adaptive cosine scheduling" is a misnomer: the equation does not show the phase affecting the learning rate.</w:t>
      </w:r>
    </w:p>
    <w:p>
      <w:pPr>
        <w:spacing w:after="200"/>
      </w:pPr>
      <w:r>
        <w:rPr>
          <w:b/>
        </w:rPr>
        <w:t xml:space="preserve">Response: </w:t>
      </w:r>
      <w:r>
        <w:t>We agree. Step 1 is now named the "warmup-cosine learning-rate schedule", and the manuscript states explicitly that the learning-rate schedule is global and phase-independent; the phase affects the update only through the gradient filtering (Steps 2-3). The separation of the phase and depth axes is described in Section 3.2 and Section 3.6.</w:t>
      </w:r>
    </w:p>
    <w:p>
      <w:pPr>
        <w:spacing w:after="240"/>
        <w:ind w:left="454"/>
      </w:pPr>
      <w:r>
        <w:rPr>
          <w:i/>
          <w:color w:val="1F4E79"/>
          <w:sz w:val="20"/>
        </w:rPr>
        <w:t>Revised: Section 3.2 (Step 1 and Fig. 5 caption), Section 3.6.</w:t>
      </w:r>
    </w:p>
    <w:p>
      <w:pPr>
        <w:spacing w:after="80"/>
      </w:pPr>
      <w:r>
        <w:rPr>
          <w:b/>
          <w:i/>
          <w:sz w:val="22"/>
        </w:rPr>
        <w:t xml:space="preserve">Comment (R4-11): </w:t>
      </w:r>
      <w:r>
        <w:rPr>
          <w:b w:val="0"/>
          <w:i/>
          <w:sz w:val="22"/>
        </w:rPr>
        <w:t>The coefficient alpha in Eq. (21) changes with phase but is not explicitly indexed by layer; depth appears only later.</w:t>
      </w:r>
    </w:p>
    <w:p>
      <w:pPr>
        <w:spacing w:after="200"/>
      </w:pPr>
      <w:r>
        <w:rPr>
          <w:b/>
        </w:rPr>
        <w:t xml:space="preserve">Response: </w:t>
      </w:r>
      <w:r>
        <w:t>We have re-indexed the notation: alpha_{l,t} now denotes the layer- and time-dependent EMA coefficient, and the manuscript distinguishes the phase-dependent smoothing coefficient alpha_{l,t} from the depth-dependent blending ratio (Eq. 23). The revised notation is described in Section 3.2 (Step 2).</w:t>
      </w:r>
    </w:p>
    <w:p>
      <w:pPr>
        <w:spacing w:after="240"/>
        <w:ind w:left="454"/>
      </w:pPr>
      <w:r>
        <w:rPr>
          <w:i/>
          <w:color w:val="1F4E79"/>
          <w:sz w:val="20"/>
        </w:rPr>
        <w:t>Revised: Section 3.2, Eqs. (12)-(13).</w:t>
      </w:r>
    </w:p>
    <w:p>
      <w:pPr>
        <w:spacing w:after="80"/>
      </w:pPr>
      <w:r>
        <w:rPr>
          <w:b/>
          <w:i/>
          <w:sz w:val="22"/>
        </w:rPr>
        <w:t xml:space="preserve">Comment (R4-12): </w:t>
      </w:r>
      <w:r>
        <w:rPr>
          <w:b w:val="0"/>
          <w:i/>
          <w:sz w:val="22"/>
        </w:rPr>
        <w:t>Figure 5 "Phase 0: no filter" contradicts the equations, since base DALS still filters in Phase 0.</w:t>
      </w:r>
    </w:p>
    <w:p>
      <w:pPr>
        <w:spacing w:after="200"/>
      </w:pPr>
      <w:r>
        <w:rPr>
          <w:b/>
        </w:rPr>
        <w:t xml:space="preserve">Response: </w:t>
      </w:r>
      <w:r>
        <w:t>The caption of Figure 5 has been corrected to state that in base DALS the filter is reduced (not removed) in Phase 0, and that complete filter bypassing in Phase 0 is a DALS-Fast modification only. The figure caption and the equations are now consistent.</w:t>
      </w:r>
    </w:p>
    <w:p>
      <w:pPr>
        <w:spacing w:after="240"/>
        <w:ind w:left="454"/>
      </w:pPr>
      <w:r>
        <w:rPr>
          <w:i/>
          <w:color w:val="1F4E79"/>
          <w:sz w:val="20"/>
        </w:rPr>
        <w:t>Revised: Fig. 5 caption, Section 3.2.</w:t>
      </w:r>
    </w:p>
    <w:p>
      <w:pPr>
        <w:spacing w:after="80"/>
      </w:pPr>
      <w:r>
        <w:rPr>
          <w:b/>
          <w:i/>
          <w:sz w:val="22"/>
        </w:rPr>
        <w:t xml:space="preserve">Comment (R4-13): </w:t>
      </w:r>
      <w:r>
        <w:rPr>
          <w:b w:val="0"/>
          <w:i/>
          <w:sz w:val="22"/>
        </w:rPr>
        <w:t>A complete algorithm pseudocode is missing (weight decay, clipping, bias/embedding/norm handling).</w:t>
      </w:r>
    </w:p>
    <w:p>
      <w:pPr>
        <w:spacing w:after="200"/>
      </w:pPr>
      <w:r>
        <w:rPr>
          <w:b/>
        </w:rPr>
        <w:t xml:space="preserve">Response: </w:t>
      </w:r>
      <w:r>
        <w:t>We have added Algorithm 1 in Section 3.5 ("Complete Algorithm"), which specifies the full one-step procedure: gradient computation, the warmup-cosine schedule, phase detection, phase/depth-aware filtering, trust-ratio computation with the bias/embedding/normalization bypass, momentum, decoupled weight decay, and parameter updates.</w:t>
      </w:r>
    </w:p>
    <w:p>
      <w:pPr>
        <w:spacing w:after="240"/>
        <w:ind w:left="454"/>
      </w:pPr>
      <w:r>
        <w:rPr>
          <w:i/>
          <w:color w:val="1F4E79"/>
          <w:sz w:val="20"/>
        </w:rPr>
        <w:t>Revised: Section 3.5, Algorithm 1.</w:t>
      </w:r>
    </w:p>
    <w:p>
      <w:pPr>
        <w:spacing w:after="80"/>
      </w:pPr>
      <w:r>
        <w:rPr>
          <w:b/>
          <w:i/>
          <w:sz w:val="22"/>
        </w:rPr>
        <w:t xml:space="preserve">Comment (R4-14): </w:t>
      </w:r>
      <w:r>
        <w:rPr>
          <w:b w:val="0"/>
          <w:i/>
          <w:sz w:val="22"/>
        </w:rPr>
        <w:t>The phase thresholds and coefficients require a sensitivity analysis.</w:t>
      </w:r>
    </w:p>
    <w:p>
      <w:pPr>
        <w:spacing w:after="200"/>
      </w:pPr>
      <w:r>
        <w:rPr>
          <w:b/>
        </w:rPr>
        <w:t xml:space="preserve">Response: </w:t>
      </w:r>
      <w:r>
        <w:t>We have added Section 4.6 "Sensitivity Analysis (Design)", which specifies the sensitivity grid over the phase thresholds (0.01, 0.002), the loss-EMA coefficient, the depth-blending coefficients, the trust coefficient, the trust-ratio limits, and the warmup proportion. The manuscript transparently states that the full sensitivity study is planned and remains future work (Section 4.8), so that readers are not misled about the current empirical status of these hyperparameters.</w:t>
      </w:r>
    </w:p>
    <w:p>
      <w:pPr>
        <w:spacing w:after="240"/>
        <w:ind w:left="454"/>
      </w:pPr>
      <w:r>
        <w:rPr>
          <w:i/>
          <w:color w:val="1F4E79"/>
          <w:sz w:val="20"/>
        </w:rPr>
        <w:t>Revised: Section 4.6 "Sensitivity Analysis (Design)", Section 4.8.</w:t>
      </w:r>
    </w:p>
    <w:p>
      <w:pPr>
        <w:spacing w:after="80"/>
      </w:pPr>
      <w:r>
        <w:rPr>
          <w:b/>
          <w:i/>
          <w:sz w:val="22"/>
        </w:rPr>
        <w:t xml:space="preserve">Comment (R4-15): </w:t>
      </w:r>
      <w:r>
        <w:rPr>
          <w:b w:val="0"/>
          <w:i/>
          <w:sz w:val="22"/>
        </w:rPr>
        <w:t>The claim that lower-layer gradients are noisier needs empirical evidence (per-layer gradient variance, norms, update-to-weight ratios).</w:t>
      </w:r>
    </w:p>
    <w:p>
      <w:pPr>
        <w:spacing w:after="200"/>
      </w:pPr>
      <w:r>
        <w:rPr>
          <w:b/>
        </w:rPr>
        <w:t xml:space="preserve">Response: </w:t>
      </w:r>
      <w:r>
        <w:t>We have reworded this claim. Section 3.6 now states that the depth-gradient hypothesis is a working hypothesis, that the depth-blending is treated as a regularization heuristic rather than a derived result, and that validation requires per-layer gradient statistics. The collection of per-layer gradient variance, norms, and update-to-weight ratios is planned and listed as future work in Section 4.8. We also replaced the term "directional bias" with "magnitude bias" when describing the effect of discriminative decay.</w:t>
      </w:r>
    </w:p>
    <w:p>
      <w:pPr>
        <w:spacing w:after="240"/>
        <w:ind w:left="454"/>
      </w:pPr>
      <w:r>
        <w:rPr>
          <w:i/>
          <w:color w:val="1F4E79"/>
          <w:sz w:val="20"/>
        </w:rPr>
        <w:t>Revised: Section 3.6 (depth-blending), Section 4.8.</w:t>
      </w:r>
    </w:p>
    <w:p>
      <w:pPr>
        <w:spacing w:after="80"/>
      </w:pPr>
      <w:r>
        <w:rPr>
          <w:b/>
          <w:i/>
          <w:sz w:val="22"/>
        </w:rPr>
        <w:t xml:space="preserve">Comment (R4-16): </w:t>
      </w:r>
      <w:r>
        <w:rPr>
          <w:b w:val="0"/>
          <w:i/>
          <w:sz w:val="22"/>
        </w:rPr>
        <w:t>The benchmark should be expanded and macro-F1 reported.</w:t>
      </w:r>
    </w:p>
    <w:p>
      <w:pPr>
        <w:spacing w:after="200"/>
      </w:pPr>
      <w:r>
        <w:rPr>
          <w:b/>
        </w:rPr>
        <w:t xml:space="preserve">Response: </w:t>
      </w:r>
      <w:r>
        <w:t>The benchmark has been expanded from 8 to 10 datasets (added CIFAR-100, and SST-2/MRPC fine-tuning on BERT-base; Section 4.1). The evaluation now computes macro-averaged F1 for all tasks, and Section 4.1 states that both accuracy and macro-F1 are reported; the F1 values are available in the accompanying result files. We also fixed the SST-2 F1 computation, which previously used binary averaging and failed on multiclass evaluation; the evaluation now uses macro averaging consistently.</w:t>
      </w:r>
    </w:p>
    <w:p>
      <w:pPr>
        <w:spacing w:after="240"/>
        <w:ind w:left="454"/>
      </w:pPr>
      <w:r>
        <w:rPr>
          <w:i/>
          <w:color w:val="1F4E79"/>
          <w:sz w:val="20"/>
        </w:rPr>
        <w:t>Revised: Section 4.1, Table 2, evaluation code (macro-F1).</w:t>
      </w:r>
    </w:p>
    <w:p>
      <w:pPr>
        <w:spacing w:after="80"/>
      </w:pPr>
      <w:r>
        <w:rPr>
          <w:b/>
          <w:i/>
          <w:sz w:val="22"/>
        </w:rPr>
        <w:t xml:space="preserve">Comment (R4-17): </w:t>
      </w:r>
      <w:r>
        <w:rPr>
          <w:b w:val="0"/>
          <w:i/>
          <w:sz w:val="22"/>
        </w:rPr>
        <w:t>Missing hardware/version information, incorrect MLP description, and formatting errors.</w:t>
      </w:r>
    </w:p>
    <w:p>
      <w:pPr>
        <w:spacing w:after="200"/>
      </w:pPr>
      <w:r>
        <w:rPr>
          <w:b/>
        </w:rPr>
        <w:t xml:space="preserve">Response: </w:t>
      </w:r>
      <w:r>
        <w:t>We have added Section 4.7 "Reproducibility", which reports the hardware (NVIDIA RTX 4070 and RTX 4060 Laptop), the five fixed seeds, the data splits, and the software versions (PyTorch, transformers, datasets). The MLP description has been corrected (it has two hidden layers, $64</w:t>
        <w:tab/>
        <w:t>o128</w:t>
        <w:tab/>
        <w:t>o128</w:t>
        <w:tab/>
        <w:t>o10$), and the RTE/TREC-6 punctuation and symbol issues have been fixed.</w:t>
      </w:r>
    </w:p>
    <w:p>
      <w:pPr>
        <w:spacing w:after="240"/>
        <w:ind w:left="454"/>
      </w:pPr>
      <w:r>
        <w:rPr>
          <w:i/>
          <w:color w:val="1F4E79"/>
          <w:sz w:val="20"/>
        </w:rPr>
        <w:t>Revised: Section 4.7 "Reproducibility", Section 4.1 (synthetic setup).</w:t>
      </w:r>
    </w:p>
    <w:p>
      <w:pPr>
        <w:pStyle w:val="Heading1"/>
      </w:pPr>
      <w:r>
        <w:t>Response to Reviewer #5</w:t>
      </w:r>
    </w:p>
    <w:p>
      <w:pPr>
        <w:spacing w:after="120"/>
      </w:pPr>
      <w:r>
        <w:rPr>
          <w:b w:val="0"/>
          <w:i w:val="0"/>
          <w:sz w:val="22"/>
        </w:rPr>
        <w:t>We thank Reviewer #5 for the careful reading. The concerns raised (R5-1 to R5-6) overlap with those of Reviewer #1. Our responses are therefore the same as for the corresponding comments of Reviewer #1, which we summarize below.</w:t>
      </w:r>
    </w:p>
    <w:p>
      <w:pPr>
        <w:spacing w:after="60"/>
      </w:pPr>
      <w:r>
        <w:rPr>
          <w:b w:val="0"/>
          <w:i w:val="0"/>
          <w:sz w:val="22"/>
        </w:rPr>
        <w:t>R5-1 (novelty/combination motivation) -&gt; see response to R1-1.</w:t>
      </w:r>
    </w:p>
    <w:p>
      <w:pPr>
        <w:spacing w:after="60"/>
      </w:pPr>
      <w:r>
        <w:rPr>
          <w:b w:val="0"/>
          <w:i w:val="0"/>
          <w:sz w:val="22"/>
        </w:rPr>
        <w:t>R5-2 (theoretical analysis / convergence) -&gt; see response to R1-2.</w:t>
      </w:r>
    </w:p>
    <w:p>
      <w:pPr>
        <w:spacing w:after="60"/>
      </w:pPr>
      <w:r>
        <w:rPr>
          <w:b w:val="0"/>
          <w:i w:val="0"/>
          <w:sz w:val="22"/>
        </w:rPr>
        <w:t>R5-3 (synthetic-task emphasis) -&gt; see response to R1-3.</w:t>
      </w:r>
    </w:p>
    <w:p>
      <w:pPr>
        <w:spacing w:after="60"/>
      </w:pPr>
      <w:r>
        <w:rPr>
          <w:b w:val="0"/>
          <w:i w:val="0"/>
          <w:sz w:val="22"/>
        </w:rPr>
        <w:t>R5-4 (experimental scale) -&gt; see response to R1-4.</w:t>
      </w:r>
    </w:p>
    <w:p>
      <w:pPr>
        <w:spacing w:after="60"/>
      </w:pPr>
      <w:r>
        <w:rPr>
          <w:b w:val="0"/>
          <w:i w:val="0"/>
          <w:sz w:val="22"/>
        </w:rPr>
        <w:t>R5-5 (hyperparameter fairness) -&gt; see response to R1-5.</w:t>
      </w:r>
    </w:p>
    <w:p>
      <w:pPr>
        <w:spacing w:after="240"/>
      </w:pPr>
      <w:r>
        <w:rPr>
          <w:b w:val="0"/>
          <w:i w:val="0"/>
          <w:sz w:val="22"/>
        </w:rPr>
        <w:t>R5-6 (overly strong wording) -&gt; see response to R1-6.</w:t>
      </w:r>
    </w:p>
    <w:p>
      <w:pPr>
        <w:pStyle w:val="Heading1"/>
      </w:pPr>
      <w:r>
        <w:t>Response to the Editorial Request (PEFT/LoRA references)</w:t>
      </w:r>
    </w:p>
    <w:p>
      <w:pPr>
        <w:spacing w:after="120"/>
      </w:pPr>
      <w:r>
        <w:rPr>
          <w:b w:val="0"/>
          <w:i w:val="0"/>
          <w:sz w:val="22"/>
        </w:rPr>
        <w:t>Following the editorial suggestion, we have added a discussion of parameter-efficient fine-tuning (PEFT) methods in Section 3.7 "Relationship to Prior Work and Parameter-Efficient Fine-tuning". We clarify that PEFT/LoRA methods change which parameters are trainable, whereas DALS changes how each trainable parameter is updated, so the two lines of work are complementary. We cite LoRA (Hu et al., 2022) and GaLore (Zhao et al., 2024), and we list the integration of DALS with LoRA-style adapters as a natural future direction (Section 4.8).</w:t>
      </w:r>
    </w:p>
    <w:p>
      <w:pPr>
        <w:spacing w:after="240"/>
        <w:ind w:left="454"/>
      </w:pPr>
      <w:r>
        <w:rPr>
          <w:i/>
          <w:color w:val="1F4E79"/>
          <w:sz w:val="20"/>
        </w:rPr>
        <w:t>Revised: Section 3.7; references.bib (hu2022lora, zhao2024galore).</w:t>
      </w:r>
    </w:p>
    <w:p>
      <w:pPr>
        <w:pStyle w:val="Heading1"/>
      </w:pPr>
      <w:r>
        <w:t>Summary of manuscript changes</w:t>
      </w:r>
    </w:p>
    <w:p>
      <w:pPr>
        <w:spacing w:after="120"/>
      </w:pPr>
      <w:r>
        <w:rPr>
          <w:b w:val="0"/>
          <w:i w:val="0"/>
          <w:sz w:val="22"/>
        </w:rPr>
        <w:t>The following is a checklist of the main changes made in this revision:</w:t>
      </w:r>
    </w:p>
    <w:p>
      <w:pPr>
        <w:pStyle w:val="ListBullet"/>
      </w:pPr>
      <w:r>
        <w:rPr>
          <w:b/>
        </w:rPr>
        <w:t xml:space="preserve">Experiments: </w:t>
      </w:r>
      <w:r>
        <w:t>Benchmark expanded from 8 to 10 datasets (added CIFAR-100; SST-2 and MRPC on BERT-base); 18 strategies x 10 datasets x 5 seeds; macro-F1 computed in the evaluation; validation-based checkpoint selection; statistical-significance analysis (paired t-test + bootstrap CI).</w:t>
      </w:r>
    </w:p>
    <w:p>
      <w:pPr>
        <w:pStyle w:val="ListBullet"/>
      </w:pPr>
      <w:r>
        <w:rPr>
          <w:b/>
        </w:rPr>
        <w:t xml:space="preserve">Ablation: </w:t>
      </w:r>
      <w:r>
        <w:t>Section 4.4: nine DALS variants (cosine/trust/filter/phase/depth and pairwise combinations) on synthetic and CIFAR-10, 5 seeds.</w:t>
      </w:r>
    </w:p>
    <w:p>
      <w:pPr>
        <w:pStyle w:val="ListBullet"/>
      </w:pPr>
      <w:r>
        <w:rPr>
          <w:b/>
        </w:rPr>
        <w:t xml:space="preserve">Efficiency: </w:t>
      </w:r>
      <w:r>
        <w:t>Section 4.5: wall-clock, peak GPU memory, throughput per dataset (5 seeds).</w:t>
      </w:r>
    </w:p>
    <w:p>
      <w:pPr>
        <w:pStyle w:val="ListBullet"/>
      </w:pPr>
      <w:r>
        <w:rPr>
          <w:b/>
        </w:rPr>
        <w:t xml:space="preserve">Sensitivity: </w:t>
      </w:r>
      <w:r>
        <w:t>Section 4.6: sensitivity-analysis design over DALS hyperparameters (results planned, stated as future work).</w:t>
      </w:r>
    </w:p>
    <w:p>
      <w:pPr>
        <w:pStyle w:val="ListBullet"/>
      </w:pPr>
      <w:r>
        <w:rPr>
          <w:b/>
        </w:rPr>
        <w:t xml:space="preserve">Theory: </w:t>
      </w:r>
      <w:r>
        <w:t>Section 3.6: design clarifications (phase/LR separation; trust-ratio step-size bound); a full convergence analysis is honestly stated as future work; magnitude-bias terminology.</w:t>
      </w:r>
    </w:p>
    <w:p>
      <w:pPr>
        <w:pStyle w:val="ListBullet"/>
      </w:pPr>
      <w:r>
        <w:rPr>
          <w:b/>
        </w:rPr>
        <w:t xml:space="preserve">Algorithm: </w:t>
      </w:r>
      <w:r>
        <w:t>Section 3.5: complete DALS pseudocode (Algorithm 1).</w:t>
      </w:r>
    </w:p>
    <w:p>
      <w:pPr>
        <w:pStyle w:val="ListBullet"/>
      </w:pPr>
      <w:r>
        <w:rPr>
          <w:b/>
        </w:rPr>
        <w:t xml:space="preserve">Text: </w:t>
      </w:r>
      <w:r>
        <w:t>Removed "catastrophic/total collapse" and promotional language; taxonomy reframed as organizational viewpoint; Gen5+ defined as our proposal; fine-tuning regime corrected throughout; unverifiable epochs-to-threshold convergence table removed (convergence discussed via the efficiency analysis); notation alpha_{l,t}; Fig. 2/Fig. 5 captions corrected; reproducibility section (hardware/versions/seeds) added; LARS attribution fixed (you2019lars); PEFT/LoRA discussion and citations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