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Response to Reviewers</w:t>
      </w:r>
    </w:p>
    <w:p>
      <w:r>
        <w:rPr>
          <w:rFonts w:ascii="Times New Roman" w:hAnsi="Times New Roman"/>
          <w:b/>
          <w:sz w:val="22"/>
        </w:rPr>
        <w:t xml:space="preserve">Manuscript No.: </w:t>
      </w:r>
      <w:r>
        <w:rPr>
          <w:rFonts w:ascii="Times New Roman" w:hAnsi="Times New Roman"/>
          <w:sz w:val="22"/>
        </w:rPr>
        <w:t>NEUCOM-D-26-12332</w:t>
        <w:br/>
      </w:r>
      <w:r>
        <w:rPr>
          <w:rFonts w:ascii="Times New Roman" w:hAnsi="Times New Roman"/>
          <w:b/>
          <w:sz w:val="22"/>
        </w:rPr>
        <w:t xml:space="preserve">Title: </w:t>
      </w:r>
      <w:r>
        <w:rPr>
          <w:rFonts w:ascii="Times New Roman" w:hAnsi="Times New Roman"/>
          <w:sz w:val="22"/>
        </w:rPr>
        <w:t>Learning Rate Engineering: From Coarse Single Parameter to Layered Evolution</w:t>
        <w:br/>
      </w:r>
      <w:r>
        <w:rPr>
          <w:rFonts w:ascii="Times New Roman" w:hAnsi="Times New Roman"/>
          <w:b/>
          <w:sz w:val="22"/>
        </w:rPr>
        <w:t xml:space="preserve">Journal: </w:t>
      </w:r>
      <w:r>
        <w:rPr>
          <w:rFonts w:ascii="Times New Roman" w:hAnsi="Times New Roman"/>
          <w:sz w:val="22"/>
        </w:rPr>
        <w:t>Neurocomputing</w:t>
        <w:br/>
      </w:r>
    </w:p>
    <w:p/>
    <w:p>
      <w:r>
        <w:rPr>
          <w:rFonts w:ascii="Times New Roman" w:hAnsi="Times New Roman"/>
          <w:sz w:val="22"/>
        </w:rPr>
        <w:t>We sincerely thank the Editor-in-Chief, the Associate Editor, and all four reviewers for their careful reading of our manuscript and for the detailed and constructive comments, which have helped us improve the paper substantially. We have revised the manuscript in accordance with every comment. All changes made in response to the reviewers are highlighted in yellow in the revised manuscript, and the highlighted text will be converted to plain text in the final version.</w:t>
      </w:r>
    </w:p>
    <w:p>
      <w:pPr>
        <w:spacing w:before="240" w:after="120"/>
      </w:pPr>
      <w:r>
        <w:rPr>
          <w:rFonts w:ascii="Times New Roman" w:hAnsi="Times New Roman"/>
          <w:b/>
          <w:sz w:val="24"/>
        </w:rPr>
        <w:t>Summary of the major revisions</w:t>
      </w:r>
    </w:p>
    <w:p>
      <w:r>
        <w:rPr>
          <w:rFonts w:ascii="Times New Roman" w:hAnsi="Times New Roman"/>
          <w:sz w:val="22"/>
        </w:rPr>
        <w:t>In this revision we: (i) expanded the benchmark from five to ten datasets, adding CIFAR-100 (from-scratch training) and the GLUE tasks SST-2 and MRPC, each fine-tuned on both DistilBERT and the larger BERT-base model; (ii) re-ran all experiments over five fixed random seeds and now report mean ± std with 95% confidence intervals, complemented by paired t-tests and bootstrap confidence intervals; (iii) adopted validation-based model selection (checkpoint with the highest validation accuracy, evaluated once on the held-out test set) and added macro-F1 reporting; (iv) conducted a complete component-wise and pairwise ablation study on the synthetic and CIFAR-10 benchmarks; (v) added an efficiency analysis reporting wall-clock time, peak GPU memory, and throughput across datasets; (vi) corrected the experimental-regime descriptions (all NLP tasks are explicitly identified as fine-tuning with pretrained weights), the reported cross-dataset performance ranges, and the convergence-speed claims, which we removed because the underlying per-epoch traces could not be verified; (vii) softened the language throughout, clarified the five-generation taxonomy as an organizational viewpoint, corrected historical attributions and citations, and carefully proofread the manuscript.</w:t>
      </w:r>
    </w:p>
    <w:p>
      <w:pPr>
        <w:spacing w:before="240" w:after="120"/>
      </w:pPr>
      <w:r>
        <w:rPr>
          <w:rFonts w:ascii="Times New Roman" w:hAnsi="Times New Roman"/>
          <w:b/>
          <w:sz w:val="24"/>
        </w:rPr>
        <w:t>Response to the Editor</w:t>
      </w:r>
    </w:p>
    <w:p>
      <w:r>
        <w:rPr>
          <w:rFonts w:ascii="Times New Roman" w:hAnsi="Times New Roman"/>
          <w:sz w:val="22"/>
        </w:rPr>
        <w:t>We thank the Editor for the opportunity to revise the manuscript and for the guidance provided. We provide a point-by-point letter of replies to all reviewers' comments, as requested. With respect to the citation-request guidance of the Associate Editor, we have incorporated only references that are directly relevant to the revised discussion (e.g., LoRA [Hu et al., 2022], GaLore [Zhao et al., 2024], and AdaBelief [Zhuang et al., 2020]), and we have corrected several citations that were inaccurate in the previous version.</w:t>
      </w:r>
    </w:p>
    <w:p>
      <w:pPr>
        <w:spacing w:before="240" w:after="120"/>
      </w:pPr>
      <w:r>
        <w:rPr>
          <w:rFonts w:ascii="Times New Roman" w:hAnsi="Times New Roman"/>
          <w:b/>
          <w:sz w:val="26"/>
        </w:rPr>
        <w:t>Response to Reviewer #1</w:t>
      </w:r>
    </w:p>
    <w:p>
      <w:r>
        <w:rPr>
          <w:rFonts w:ascii="Times New Roman" w:hAnsi="Times New Roman"/>
          <w:sz w:val="22"/>
        </w:rPr>
        <w:t>We thank Reviewer #1 for the careful and insightful review. We address each comment below.</w:t>
      </w:r>
    </w:p>
    <w:p>
      <w:pPr>
        <w:spacing w:after="80"/>
        <w:ind w:left="216"/>
      </w:pPr>
      <w:r>
        <w:rPr>
          <w:rFonts w:ascii="Times New Roman" w:hAnsi="Times New Roman"/>
          <w:i/>
          <w:color w:val="1F3A5F"/>
          <w:sz w:val="22"/>
        </w:rPr>
        <w:t>Comment 1: Limited novelty of DALS. The proposed optimizer is largely a composition of existing components—cosine scheduling, Grokfast gradient EMA, LARS trust ratios, SGD momentum. Consequently, DALS appears more like an engineering combination than a fundamentally new optimization method. The manuscript should better articulate (a) what theoretical principle uniquely motivates the combination, (b) why these components should interact synergistically, (c) why alternative combinations were not considered.</w:t>
      </w:r>
    </w:p>
    <w:p>
      <w:pPr>
        <w:spacing w:after="200"/>
        <w:ind w:left="216"/>
      </w:pPr>
      <w:r>
        <w:rPr>
          <w:rFonts w:ascii="Times New Roman" w:hAnsi="Times New Roman"/>
          <w:b/>
          <w:sz w:val="22"/>
        </w:rPr>
        <w:t xml:space="preserve">Response: </w:t>
      </w:r>
      <w:r>
        <w:rPr>
          <w:rFonts w:ascii="Times New Roman" w:hAnsi="Times New Roman"/>
          <w:sz w:val="22"/>
        </w:rPr>
        <w:t>We fully agree that DALS is a composition of existing components, and we now present it as such rather than as a fundamentally new algorithm. We have strengthened the manuscript in three ways. (a) Section 3.3 (Key Design Principles) now articulates the principle motivating the specific combination: training proceeds through qualitatively distinct phases (exploration, exploitation, refinement) and across layers with different gradient statistics, so gradient processing should adapt along these two independent axes, while the learning-rate schedule itself remains a standard, phase-independent warmup-cosine schedule (Section 3.2). (b) The table of DALS component origins and adaptations (Section 3.7) now explains, for each component, where it comes from and how DALS adapts it, and Section 4.3 explains why a naive transfer-learning-oriented combination (discriminative decay + STLR) is harmful outside its intended regime. (c) The new ablation study (Section 4.4) explicitly considers alternative combinations, including each component alone and all pairwise interactions, which directly addresses why the specific coordination is chosen. We also now state clearly that DALS's value lies in stability and balance across regimes rather than in being a brand-new optimization principle.</w:t>
      </w:r>
    </w:p>
    <w:p>
      <w:pPr>
        <w:spacing w:after="80"/>
        <w:ind w:left="216"/>
      </w:pPr>
      <w:r>
        <w:rPr>
          <w:rFonts w:ascii="Times New Roman" w:hAnsi="Times New Roman"/>
          <w:i/>
          <w:color w:val="1F3A5F"/>
          <w:sz w:val="22"/>
        </w:rPr>
        <w:t>Comment 2: Lack of theoretical analysis. The paper introduces several heuristic mechanisms (phase detection thresholds 0.01 and 0.002, depth-aware blending coefficients, trust-ratio clipping, warmup duration, Grokfast smoothing parameters). Questions that remain unanswered include: (a) Why were these thresholds chosen? (b) Are the results sensitive to these values? (c) Does DALS possess convergence guarantees? (d) Can the phase-aware mechanism be analyzed mathematically?</w:t>
      </w:r>
    </w:p>
    <w:p>
      <w:pPr>
        <w:spacing w:after="200"/>
        <w:ind w:left="216"/>
      </w:pPr>
      <w:r>
        <w:rPr>
          <w:rFonts w:ascii="Times New Roman" w:hAnsi="Times New Roman"/>
          <w:b/>
          <w:sz w:val="22"/>
        </w:rPr>
        <w:t xml:space="preserve">Response: </w:t>
      </w:r>
      <w:r>
        <w:rPr>
          <w:rFonts w:ascii="Times New Roman" w:hAnsi="Times New Roman"/>
          <w:sz w:val="22"/>
        </w:rPr>
        <w:t>We have added Section 3.6, Theoretical Considerations and Open Questions, which addresses these points as far as is currently justified. In particular: (a) we now state that the thresholds are empirical and define a piecewise-constant partition of training based on the relative loss-improvement rate, and we discuss how a principled choice could in principle be derived from the expected loss-decay of SGD on L-smooth functions; (b) we note that the phase partition affects only the EMA smoothing coefficient and not the learning-rate schedule, and we discuss the need for a sensitivity analysis in Section 4.6; (c) we prove a step-size bound: because the trust ratio is clamped to [0.2, 5.0], the effective per-parameter step size remains within a bounded constant factor of the global learning rate, so the standard analysis of warmup-cosine SGD applies modulo a bounded factor; (d) we explicitly acknowledge that a full convergence analysis of the filtered-gradient updates and a principled derivation of the thresholds remain open, and we state this as future work in Sections 3.6 and 4.8. We are transparent that the completed sensitivity study called for in Section 4.6 is part of our ongoing work.</w:t>
      </w:r>
    </w:p>
    <w:p>
      <w:pPr>
        <w:spacing w:after="80"/>
        <w:ind w:left="216"/>
      </w:pPr>
      <w:r>
        <w:rPr>
          <w:rFonts w:ascii="Times New Roman" w:hAnsi="Times New Roman"/>
          <w:i/>
          <w:color w:val="1F3A5F"/>
          <w:sz w:val="22"/>
        </w:rPr>
        <w:t>Comment 3: Synthetic dataset dominates conclusions. The strongest performance reported for DALS is obtained on a custom synthetic dataset (98.0%). The gains on real datasets are much smaller, and the conclusions regarding the superiority of DALS appear somewhat overstated.</w:t>
      </w:r>
    </w:p>
    <w:p>
      <w:pPr>
        <w:spacing w:after="200"/>
        <w:ind w:left="216"/>
      </w:pPr>
      <w:r>
        <w:rPr>
          <w:rFonts w:ascii="Times New Roman" w:hAnsi="Times New Roman"/>
          <w:b/>
          <w:sz w:val="22"/>
        </w:rPr>
        <w:t xml:space="preserve">Response: </w:t>
      </w:r>
      <w:r>
        <w:rPr>
          <w:rFonts w:ascii="Times New Roman" w:hAnsi="Times New Roman"/>
          <w:sz w:val="22"/>
        </w:rPr>
        <w:t>We agree, and we have rebalanced the presentation accordingly. The abstract, highlights, discussion, and conclusion now state that on the synthetic benchmark the adaptive and lookahead methods achieve the highest accuracies (up to 98.0%) and that DALS is competitive at 97.5% rather than being the best. We also expanded the real-dataset evaluation (CIFAR-100, SST-2, MRPC, on DistilBERT and BERT-base). We continue to present the synthetic task explicitly as a controlled study of optimization dynamics (Section 4.1) and do not claim it as evidence of universal superiority.</w:t>
      </w:r>
    </w:p>
    <w:p>
      <w:pPr>
        <w:spacing w:after="80"/>
        <w:ind w:left="216"/>
      </w:pPr>
      <w:r>
        <w:rPr>
          <w:rFonts w:ascii="Times New Roman" w:hAnsi="Times New Roman"/>
          <w:i/>
          <w:color w:val="1F3A5F"/>
          <w:sz w:val="22"/>
        </w:rPr>
        <w:t>Comment 4: Missing large-scale experiments. The evaluation is limited to CIFAR-10 and DistilBERT fine-tuning. Larger and more diverse settings (CIFAR-100, Tiny ImageNet, ImageNet, Vision Transformers, GLUE tasks with BERT-base/RoBERTa) and LoRA/PEFT-based LLM fine-tuning would substantially strengthen the paper.</w:t>
      </w:r>
    </w:p>
    <w:p>
      <w:pPr>
        <w:spacing w:after="200"/>
        <w:ind w:left="216"/>
      </w:pPr>
      <w:r>
        <w:rPr>
          <w:rFonts w:ascii="Times New Roman" w:hAnsi="Times New Roman"/>
          <w:b/>
          <w:sz w:val="22"/>
        </w:rPr>
        <w:t xml:space="preserve">Response: </w:t>
      </w:r>
      <w:r>
        <w:rPr>
          <w:rFonts w:ascii="Times New Roman" w:hAnsi="Times New Roman"/>
          <w:sz w:val="22"/>
        </w:rPr>
        <w:t>We have expanded the benchmark to ten datasets: we added CIFAR-100 (from-scratch training) and the GLUE tasks SST-2 and MRPC, each fine-tuned on both DistilBERT and the larger BERT-base model. We acknowledge that ImageNet, Vision Transformers, the remaining GLUE tasks, RoBERTa, and LoRA/PEFT-based LLM fine-tuning remain beyond the present scope; this is now stated explicitly as future work in Section 4.8 and the Conclusion, together with our view of how the phase- and depth-adaptive mechanism might benefit these settings.</w:t>
      </w:r>
    </w:p>
    <w:p>
      <w:pPr>
        <w:spacing w:after="80"/>
        <w:ind w:left="216"/>
      </w:pPr>
      <w:r>
        <w:rPr>
          <w:rFonts w:ascii="Times New Roman" w:hAnsi="Times New Roman"/>
          <w:i/>
          <w:color w:val="1F3A5F"/>
          <w:sz w:val="22"/>
        </w:rPr>
        <w:t>Comment 5: Fairness of comparisons. The manuscript does not describe any hyperparameter tuning budget or search protocol, and the same learning rates appear to be imposed across methods during fine-tuning despite SAM, Lion, LARS, and Lookahead being sensitive to hyperparameters.</w:t>
      </w:r>
    </w:p>
    <w:p>
      <w:pPr>
        <w:spacing w:after="200"/>
        <w:ind w:left="216"/>
      </w:pPr>
      <w:r>
        <w:rPr>
          <w:rFonts w:ascii="Times New Roman" w:hAnsi="Times New Roman"/>
          <w:b/>
          <w:sz w:val="22"/>
        </w:rPr>
        <w:t xml:space="preserve">Response: </w:t>
      </w:r>
      <w:r>
        <w:rPr>
          <w:rFonts w:ascii="Times New Roman" w:hAnsi="Times New Roman"/>
          <w:sz w:val="22"/>
        </w:rPr>
        <w:t>We have clarified the hyperparameter protocol in Section 4.1: each strategy uses its canonical hyperparameters from the original papers; for fine-tuning, Adam-family methods use a base learning rate of 5×10⁻⁵ and SGD-family methods 5×10⁻⁴; the DALS variants use 0.1 (from-scratch) and 5×10⁻⁴ (fine-tuning) for DALS and DALS-Fast and 0.03 (from-scratch) for DALS-Acc, and only the DALS variants employ an internal warmup-cosine schedule. We acknowledge that this canonical-setting protocol is not fully fair and now state explicitly that an equal-budget per-method tuning protocol (grid search over learning rate, weight decay, momentum/β, warmup ratio, and scheduler-specific parameters, with the same number of trials and selection on a validation split) is required and is planned (Sections 4.1 and 4.8).</w:t>
      </w:r>
    </w:p>
    <w:p>
      <w:pPr>
        <w:spacing w:after="80"/>
        <w:ind w:left="216"/>
      </w:pPr>
      <w:r>
        <w:rPr>
          <w:rFonts w:ascii="Times New Roman" w:hAnsi="Times New Roman"/>
          <w:i/>
          <w:color w:val="1F3A5F"/>
          <w:sz w:val="22"/>
        </w:rPr>
        <w:t>Comment 6: Strong claims regarding STLR + Discriminative. Terms such as “catastrophic failure” and “total collapse” are used, and this approach was proposed for transfer learning rather than from-scratch training, so its poor behavior outside its intended setting is not surprising. The current presentation may create a strawman comparison.</w:t>
      </w:r>
    </w:p>
    <w:p>
      <w:pPr>
        <w:spacing w:after="200"/>
        <w:ind w:left="216"/>
      </w:pPr>
      <w:r>
        <w:rPr>
          <w:rFonts w:ascii="Times New Roman" w:hAnsi="Times New Roman"/>
          <w:b/>
          <w:sz w:val="22"/>
        </w:rPr>
        <w:t xml:space="preserve">Response: </w:t>
      </w:r>
      <w:r>
        <w:rPr>
          <w:rFonts w:ascii="Times New Roman" w:hAnsi="Times New Roman"/>
          <w:sz w:val="22"/>
        </w:rPr>
        <w:t>We thank the reviewer for this important point. We have removed the terms “catastrophic failure” and “total collapse” from the manuscript and rewritten the discussion to be more balanced (Section 4.3). We now note explicitly that this recipe was designed for fine-tuning and frame the observation as a fine-tuning result rather than a from-scratch failure. We also added a detailed analysis of the discriminative family on MRPC and TREC-6 (Section 4.3) that documents the degradation precisely and interprets it mechanistically.</w:t>
      </w:r>
    </w:p>
    <w:p>
      <w:pPr>
        <w:spacing w:after="80"/>
        <w:ind w:left="216"/>
      </w:pPr>
      <w:r>
        <w:rPr>
          <w:rFonts w:ascii="Times New Roman" w:hAnsi="Times New Roman"/>
          <w:i/>
          <w:color w:val="1F3A5F"/>
          <w:sz w:val="22"/>
        </w:rPr>
        <w:t>Comment 7: Inconsistency regarding TREC-6 experiments. Section 4.3 refers to TREC-6 as a from-scratch task, but Table 2 indicates fine-tuning of DistilBERT.</w:t>
      </w:r>
    </w:p>
    <w:p>
      <w:pPr>
        <w:spacing w:after="200"/>
        <w:ind w:left="216"/>
      </w:pPr>
      <w:r>
        <w:rPr>
          <w:rFonts w:ascii="Times New Roman" w:hAnsi="Times New Roman"/>
          <w:b/>
          <w:sz w:val="22"/>
        </w:rPr>
        <w:t xml:space="preserve">Response: </w:t>
      </w:r>
      <w:r>
        <w:rPr>
          <w:rFonts w:ascii="Times New Roman" w:hAnsi="Times New Roman"/>
          <w:sz w:val="22"/>
        </w:rPr>
        <w:t>We have corrected this inconsistency throughout. All NLP datasets (RTE, TREC-6, IMDb, SST-2, MRPC) are now explicitly described as fine-tuning experiments using pretrained DistilBERT or BERT-base weights (Section 4.1), and the abstract, highlights, discussion, and conclusion have been aligned accordingly. No NLP result is described as from-scratch training anywhere in the revised manuscript.</w:t>
      </w:r>
    </w:p>
    <w:p>
      <w:pPr>
        <w:spacing w:after="80"/>
        <w:ind w:left="216"/>
      </w:pPr>
      <w:r>
        <w:rPr>
          <w:rFonts w:ascii="Times New Roman" w:hAnsi="Times New Roman"/>
          <w:i/>
          <w:color w:val="1F3A5F"/>
          <w:sz w:val="22"/>
        </w:rPr>
        <w:t>Comment 8: Missing ablation studies. Since DALS combines multiple components, ablation studies examining variants without Grokfast, without trust ratios, without phase awareness, without depth awareness, and with fixed rather than adaptive parameters are necessary.</w:t>
      </w:r>
    </w:p>
    <w:p>
      <w:pPr>
        <w:spacing w:after="200"/>
        <w:ind w:left="216"/>
      </w:pPr>
      <w:r>
        <w:rPr>
          <w:rFonts w:ascii="Times New Roman" w:hAnsi="Times New Roman"/>
          <w:b/>
          <w:sz w:val="22"/>
        </w:rPr>
        <w:t xml:space="preserve">Response: </w:t>
      </w:r>
      <w:r>
        <w:rPr>
          <w:rFonts w:ascii="Times New Roman" w:hAnsi="Times New Roman"/>
          <w:sz w:val="22"/>
        </w:rPr>
        <w:t>We have conducted the complete component-wise and pairwise ablation study the reviewer requested, on the synthetic and CIFAR-10 benchmarks over five seeds (Section 4.4). We compare full DALS against nine variants: (a) cosine schedule only; (b) trust ratio only; (c) Grokfast filtering only (fixed α); (d) phase adaptation only; (e) depth blending only; (f) cosine + trust ratio; (g) cosine + filtering; (h) filtering + trust ratio; and (i) full DALS. The study shows that the warmup-cosine schedule is the most critical component on CIFAR-10: variants that include it attain stable accuracies of 82.5–85.0% with standard deviations below 0.5, whereas variants without it drop to 32.4–52.0% with high cross-seed variance, and it shows that the phase, depth, and trust mechanisms contribute stability and balance on the synthetic benchmark.</w:t>
      </w:r>
    </w:p>
    <w:p>
      <w:pPr>
        <w:spacing w:after="80"/>
        <w:ind w:left="216"/>
      </w:pPr>
      <w:r>
        <w:rPr>
          <w:rFonts w:ascii="Times New Roman" w:hAnsi="Times New Roman"/>
          <w:i/>
          <w:color w:val="1F3A5F"/>
          <w:sz w:val="22"/>
        </w:rPr>
        <w:t>Comment 9: Taxonomy may oversimplify optimization history. Several methods (AdaDelta, AdaBelief, NovoGrad, Yogi, Shampoo, Muon) do not fit naturally into the proposed categorization.</w:t>
      </w:r>
    </w:p>
    <w:p>
      <w:pPr>
        <w:spacing w:after="200"/>
        <w:ind w:left="216"/>
      </w:pPr>
      <w:r>
        <w:rPr>
          <w:rFonts w:ascii="Times New Roman" w:hAnsi="Times New Roman"/>
          <w:b/>
          <w:sz w:val="22"/>
        </w:rPr>
        <w:t xml:space="preserve">Response: </w:t>
      </w:r>
      <w:r>
        <w:rPr>
          <w:rFonts w:ascii="Times New Roman" w:hAnsi="Times New Roman"/>
          <w:sz w:val="22"/>
        </w:rPr>
        <w:t>We have revised Section 1 to present the five-generation framework explicitly as an organizational viewpoint rather than a definitive historical progression. We now state that methods such as AdaDelta, AdaBelief, NovoGrad, Yogi, Shampoo, and Muon cut across several generations and are discussed where they fit best conceptually. The generation boundaries are also explicitly described as approximate, both in the text and in the Figure 2 caption.</w:t>
      </w:r>
    </w:p>
    <w:p>
      <w:pPr>
        <w:spacing w:after="80"/>
        <w:ind w:left="216"/>
      </w:pPr>
      <w:r>
        <w:rPr>
          <w:rFonts w:ascii="Times New Roman" w:hAnsi="Times New Roman"/>
          <w:i/>
          <w:color w:val="1F3A5F"/>
          <w:sz w:val="22"/>
        </w:rPr>
        <w:t>Comment 10: Lack of statistical significance analysis. Results are reported only as best accuracy, with no information about multiple seeds, mean/standard deviation, confidence intervals, or significance tests.</w:t>
      </w:r>
    </w:p>
    <w:p>
      <w:pPr>
        <w:spacing w:after="200"/>
        <w:ind w:left="216"/>
      </w:pPr>
      <w:r>
        <w:rPr>
          <w:rFonts w:ascii="Times New Roman" w:hAnsi="Times New Roman"/>
          <w:b/>
          <w:sz w:val="22"/>
        </w:rPr>
        <w:t xml:space="preserve">Response: </w:t>
      </w:r>
      <w:r>
        <w:rPr>
          <w:rFonts w:ascii="Times New Roman" w:hAnsi="Times New Roman"/>
          <w:sz w:val="22"/>
        </w:rPr>
        <w:t>We have re-run all experiments over five fixed random seeds (42, 1337, 2024, 5555, 9999). Table 2 now reports mean ± std, and Section 4.1 states that 95% confidence intervals, paired t-tests, and bootstrap confidence intervals accompany the benchmark results. In the analysis (Section 4.2) we now state that only differences that are statistically significant are interpreted as robust, directly addressing the concern that small differences (e.g., 98.0% vs. 97.9%) may not be meaningful.</w:t>
      </w:r>
    </w:p>
    <w:p>
      <w:pPr>
        <w:spacing w:after="80"/>
        <w:ind w:left="216"/>
      </w:pPr>
      <w:r>
        <w:rPr>
          <w:rFonts w:ascii="Times New Roman" w:hAnsi="Times New Roman"/>
          <w:i/>
          <w:color w:val="1F3A5F"/>
          <w:sz w:val="22"/>
        </w:rPr>
        <w:t>Comment 11: Writing quality. For example, “This research systematize this evolution” in the abstract should be corrected to “This research systematizes this evolution.”</w:t>
      </w:r>
    </w:p>
    <w:p>
      <w:pPr>
        <w:spacing w:after="200"/>
        <w:ind w:left="216"/>
      </w:pPr>
      <w:r>
        <w:rPr>
          <w:rFonts w:ascii="Times New Roman" w:hAnsi="Times New Roman"/>
          <w:b/>
          <w:sz w:val="22"/>
        </w:rPr>
        <w:t xml:space="preserve">Response: </w:t>
      </w:r>
      <w:r>
        <w:rPr>
          <w:rFonts w:ascii="Times New Roman" w:hAnsi="Times New Roman"/>
          <w:sz w:val="22"/>
        </w:rPr>
        <w:t>We have carefully proofread the manuscript. The abstract now reads “This research systematizes this evolution,” and we corrected the other language and formatting issues flagged by the reviewers, including the incorrect MLP layer description, the missing comma between RTE and TREC-6, corrupted symbols, and inconsistent capitalization.</w:t>
      </w:r>
    </w:p>
    <w:p>
      <w:pPr>
        <w:spacing w:after="80"/>
        <w:ind w:left="216"/>
      </w:pPr>
      <w:r>
        <w:rPr>
          <w:rFonts w:ascii="Times New Roman" w:hAnsi="Times New Roman"/>
          <w:i/>
          <w:color w:val="1F3A5F"/>
          <w:sz w:val="22"/>
        </w:rPr>
        <w:t>Comment 12: Overuse of promotional language. Expressions such as “natural culmination,” “impossible trinity,” “catastrophic failure,” “total collapse,” and “champion” sound promotional rather than scientific.</w:t>
      </w:r>
    </w:p>
    <w:p>
      <w:pPr>
        <w:spacing w:after="200"/>
        <w:ind w:left="216"/>
      </w:pPr>
      <w:r>
        <w:rPr>
          <w:rFonts w:ascii="Times New Roman" w:hAnsi="Times New Roman"/>
          <w:b/>
          <w:sz w:val="22"/>
        </w:rPr>
        <w:t xml:space="preserve">Response: </w:t>
      </w:r>
      <w:r>
        <w:rPr>
          <w:rFonts w:ascii="Times New Roman" w:hAnsi="Times New Roman"/>
          <w:sz w:val="22"/>
        </w:rPr>
        <w:t>We have removed “natural culmination,” “champion,” “catastrophic failure,” and “total collapse” from the manuscript. We also explain explicitly in Section 1 why we avoid the term “impossible trinity” (it has unrelated established meanings in finance and linguistics). In addition, following Reviewer #4, we replaced “directional bias” with “magnitude bias” where discriminative rates are discussed, since these methods change update magnitude rather than gradient direction (Section 3.6).</w:t>
      </w:r>
    </w:p>
    <w:p>
      <w:pPr>
        <w:spacing w:after="80"/>
        <w:ind w:left="216"/>
      </w:pPr>
      <w:r>
        <w:rPr>
          <w:rFonts w:ascii="Times New Roman" w:hAnsi="Times New Roman"/>
          <w:i/>
          <w:color w:val="1F3A5F"/>
          <w:sz w:val="22"/>
        </w:rPr>
        <w:t>Comment 13: Novelty claim regarding Gen5+. The introduction of a separate “Gen5+” category containing Grokfast and DALS appears arbitrary and lacks clear justification.</w:t>
      </w:r>
    </w:p>
    <w:p>
      <w:pPr>
        <w:spacing w:after="200"/>
        <w:ind w:left="216"/>
      </w:pPr>
      <w:r>
        <w:rPr>
          <w:rFonts w:ascii="Times New Roman" w:hAnsi="Times New Roman"/>
          <w:b/>
          <w:sz w:val="22"/>
        </w:rPr>
        <w:t xml:space="preserve">Response: </w:t>
      </w:r>
      <w:r>
        <w:rPr>
          <w:rFonts w:ascii="Times New Roman" w:hAnsi="Times New Roman"/>
          <w:sz w:val="22"/>
        </w:rPr>
        <w:t>We have revised Section 1 to state explicitly that the “Gen5+” label is a proposal of the present paper and is not an established categorization in the optimization literature. We also clarify that DALS is presented as the proposed method of this paper rather than as an already established historical “generation,” and we describe what Gen5+ is intended to capture (methods that combine layer-aware gradient processing with temporal scheduling).</w:t>
      </w:r>
    </w:p>
    <w:p>
      <w:pPr>
        <w:spacing w:after="80"/>
        <w:ind w:left="216"/>
      </w:pPr>
      <w:r>
        <w:rPr>
          <w:rFonts w:ascii="Times New Roman" w:hAnsi="Times New Roman"/>
          <w:i/>
          <w:color w:val="1F3A5F"/>
          <w:sz w:val="22"/>
        </w:rPr>
        <w:t>Comment 14: Historical timeline in Figure 2. The dates assigned to different generations appear subjective, and the timeline may give the impression of a cleaner progression than actually occurred.</w:t>
      </w:r>
    </w:p>
    <w:p>
      <w:pPr>
        <w:spacing w:after="200"/>
        <w:ind w:left="216"/>
      </w:pPr>
      <w:r>
        <w:rPr>
          <w:rFonts w:ascii="Times New Roman" w:hAnsi="Times New Roman"/>
          <w:b/>
          <w:sz w:val="22"/>
        </w:rPr>
        <w:t xml:space="preserve">Response: </w:t>
      </w:r>
      <w:r>
        <w:rPr>
          <w:rFonts w:ascii="Times New Roman" w:hAnsi="Times New Roman"/>
          <w:sz w:val="22"/>
        </w:rPr>
        <w:t>We have clarified that the generation boundaries are approximate and intended primarily for conceptual illustration. The Figure 2 caption now reads “Five-generation evolution of learning rate strategies (approximate, conceptual timeline),” and the text in Section 1 makes the same point.</w:t>
      </w:r>
    </w:p>
    <w:p>
      <w:pPr>
        <w:spacing w:after="80"/>
        <w:ind w:left="216"/>
      </w:pPr>
      <w:r>
        <w:rPr>
          <w:rFonts w:ascii="Times New Roman" w:hAnsi="Times New Roman"/>
          <w:i/>
          <w:color w:val="1F3A5F"/>
          <w:sz w:val="22"/>
        </w:rPr>
        <w:t>Comment 15: Missing computational cost analysis. DALS introduces additional mechanisms (EMA gradient buffers, phase detection, trust-ratio computations) that incur overhead, which is not quantified.</w:t>
      </w:r>
    </w:p>
    <w:p>
      <w:pPr>
        <w:spacing w:after="200"/>
        <w:ind w:left="216"/>
      </w:pPr>
      <w:r>
        <w:rPr>
          <w:rFonts w:ascii="Times New Roman" w:hAnsi="Times New Roman"/>
          <w:b/>
          <w:sz w:val="22"/>
        </w:rPr>
        <w:t xml:space="preserve">Response: </w:t>
      </w:r>
      <w:r>
        <w:rPr>
          <w:rFonts w:ascii="Times New Roman" w:hAnsi="Times New Roman"/>
          <w:sz w:val="22"/>
        </w:rPr>
        <w:t>We have added an efficiency analysis (Section 4.5) that reports, averaged over five seeds, the wall-clock time, peak GPU memory, and throughput on each dataset, with full details in the supplementary material. For example, on CIFAR-10 DALS takes 465.0 s and 225 MB on average, whereas SGDR takes 305.4 s and 199 MB. The analysis attributes the overhead mainly to the per-layer EMA buffers and the blending arithmetic and notes that phase detection is a scalar comparison per step and is negligible. The practical trade-off is also discussed in the Limitations section.</w:t>
      </w:r>
    </w:p>
    <w:p>
      <w:pPr>
        <w:spacing w:before="240" w:after="120"/>
      </w:pPr>
      <w:r>
        <w:rPr>
          <w:rFonts w:ascii="Times New Roman" w:hAnsi="Times New Roman"/>
          <w:b/>
          <w:sz w:val="26"/>
        </w:rPr>
        <w:t>Response to Reviewer #2</w:t>
      </w:r>
    </w:p>
    <w:p>
      <w:r>
        <w:rPr>
          <w:rFonts w:ascii="Times New Roman" w:hAnsi="Times New Roman"/>
          <w:sz w:val="22"/>
        </w:rPr>
        <w:t>We thank Reviewer #2 for the positive assessment and the helpful suggestions. We address each comment below.</w:t>
      </w:r>
    </w:p>
    <w:p>
      <w:pPr>
        <w:spacing w:after="80"/>
        <w:ind w:left="216"/>
      </w:pPr>
      <w:r>
        <w:rPr>
          <w:rFonts w:ascii="Times New Roman" w:hAnsi="Times New Roman"/>
          <w:i/>
          <w:color w:val="1F3A5F"/>
          <w:sz w:val="22"/>
        </w:rPr>
        <w:t>Comment 1: The Results and Discussion sections rely almost entirely on Table 2. Table 3 is introduced but is not adequately discussed or integrated into the analysis.</w:t>
      </w:r>
    </w:p>
    <w:p>
      <w:pPr>
        <w:spacing w:after="200"/>
        <w:ind w:left="216"/>
      </w:pPr>
      <w:r>
        <w:rPr>
          <w:rFonts w:ascii="Times New Roman" w:hAnsi="Times New Roman"/>
          <w:b/>
          <w:sz w:val="22"/>
        </w:rPr>
        <w:t xml:space="preserve">Response: </w:t>
      </w:r>
      <w:r>
        <w:rPr>
          <w:rFonts w:ascii="Times New Roman" w:hAnsi="Times New Roman"/>
          <w:sz w:val="22"/>
        </w:rPr>
        <w:t>We thank the reviewer for pointing this out. Because the per-epoch accuracy traces from the original runs could not be retained and verified, we removed Table 3 and the associated convergence-speed claims rather than report numbers we cannot stand behind. Convergence behavior is now addressed through the efficiency analysis (Section 4.5), which reports wall-clock time, peak GPU memory, and throughput per dataset. We believe this is more reliable than the previously reported epoch counts, and it is fully integrated into the discussion.</w:t>
      </w:r>
    </w:p>
    <w:p>
      <w:pPr>
        <w:spacing w:after="80"/>
        <w:ind w:left="216"/>
      </w:pPr>
      <w:r>
        <w:rPr>
          <w:rFonts w:ascii="Times New Roman" w:hAnsi="Times New Roman"/>
          <w:i/>
          <w:color w:val="1F3A5F"/>
          <w:sz w:val="22"/>
        </w:rPr>
        <w:t>Comment 2: Inconsistency between the discussion and Table 3. The manuscript states that DALS-Fast reaches 90% accuracy in 3 epochs versus 9 epochs for base DALS, whereas Table 3 reports different values.</w:t>
      </w:r>
    </w:p>
    <w:p>
      <w:pPr>
        <w:spacing w:after="200"/>
        <w:ind w:left="216"/>
      </w:pPr>
      <w:r>
        <w:rPr>
          <w:rFonts w:ascii="Times New Roman" w:hAnsi="Times New Roman"/>
          <w:b/>
          <w:sz w:val="22"/>
        </w:rPr>
        <w:t xml:space="preserve">Response: </w:t>
      </w:r>
      <w:r>
        <w:rPr>
          <w:rFonts w:ascii="Times New Roman" w:hAnsi="Times New Roman"/>
          <w:sz w:val="22"/>
        </w:rPr>
        <w:t>We apologize for this inconsistency. The disagreement arose because an earlier draft claimed “9 epochs for base DALS” while the table reported 3 epochs. Since the per-epoch traces could not be verified, we removed Table 3 and all epoch-based convergence claims (including “90% in 3 epochs”) from the abstract, the body, and the tables. No such conflicting numbers remain in the revised manuscript.</w:t>
      </w:r>
    </w:p>
    <w:p>
      <w:pPr>
        <w:spacing w:after="80"/>
        <w:ind w:left="216"/>
      </w:pPr>
      <w:r>
        <w:rPr>
          <w:rFonts w:ascii="Times New Roman" w:hAnsi="Times New Roman"/>
          <w:i/>
          <w:color w:val="1F3A5F"/>
          <w:sz w:val="22"/>
        </w:rPr>
        <w:t>Comment 3: The experimental validation is limited to a small MLP, a simple ConvNet, and DistilBERT. The authors should better discuss the limitations of the current setup and the extent to which conclusions can be generalized to modern architectures.</w:t>
      </w:r>
    </w:p>
    <w:p>
      <w:pPr>
        <w:spacing w:after="200"/>
        <w:ind w:left="216"/>
      </w:pPr>
      <w:r>
        <w:rPr>
          <w:rFonts w:ascii="Times New Roman" w:hAnsi="Times New Roman"/>
          <w:b/>
          <w:sz w:val="22"/>
        </w:rPr>
        <w:t xml:space="preserve">Response: </w:t>
      </w:r>
      <w:r>
        <w:rPr>
          <w:rFonts w:ascii="Times New Roman" w:hAnsi="Times New Roman"/>
          <w:sz w:val="22"/>
        </w:rPr>
        <w:t>We have expanded the evaluation to ten datasets, adding CIFAR-100 (from-scratch) and SST-2 and MRPC, each fine-tuned on both DistilBERT and the larger BERT-base model. Section 4.8 now discusses the limitations of the current experimental setup in detail and states clearly the extent to which the conclusions can be generalized, explicitly noting that Vision Transformers, ImageNet-scale training, and LoRA/PEFT-based fine-tuning of large language models are required before the regime-dependent patterns we observe can be asserted for modern architectures.</w:t>
      </w:r>
    </w:p>
    <w:p>
      <w:pPr>
        <w:spacing w:after="80"/>
        <w:ind w:left="216"/>
      </w:pPr>
      <w:r>
        <w:rPr>
          <w:rFonts w:ascii="Times New Roman" w:hAnsi="Times New Roman"/>
          <w:i/>
          <w:color w:val="1F3A5F"/>
          <w:sz w:val="22"/>
        </w:rPr>
        <w:t>Comment 4: While DALS performs competitively, it does not consistently outperform the strongest baselines across datasets. The manuscript would benefit from a clearer discussion of the practical advantages of DALS relative to methods such as RAdam, AdamW, and Lookahead.</w:t>
      </w:r>
    </w:p>
    <w:p>
      <w:pPr>
        <w:spacing w:after="200"/>
        <w:ind w:left="216"/>
      </w:pPr>
      <w:r>
        <w:rPr>
          <w:rFonts w:ascii="Times New Roman" w:hAnsi="Times New Roman"/>
          <w:b/>
          <w:sz w:val="22"/>
        </w:rPr>
        <w:t xml:space="preserve">Response: </w:t>
      </w:r>
      <w:r>
        <w:rPr>
          <w:rFonts w:ascii="Times New Roman" w:hAnsi="Times New Roman"/>
          <w:sz w:val="22"/>
        </w:rPr>
        <w:t>We have added an explicit discussion, “DALS vs. strongest baselines,” in Section 4.3. It acknowledges that DALS does not consistently outperform RAdam, AdamW, and Lookahead on fine-tuning tasks (e.g., RAdam leads RTE at 60.4% and Lookahead leads IMDb at 87.4%) and clarifies that DALS's practical advantage lies in its consistent from-scratch behavior and the flexibility of its Fast/Acc variants, not in being a universal replacement for the adaptive methods on fine-tuning.</w:t>
      </w:r>
    </w:p>
    <w:p>
      <w:pPr>
        <w:spacing w:after="80"/>
        <w:ind w:left="216"/>
      </w:pPr>
      <w:r>
        <w:rPr>
          <w:rFonts w:ascii="Times New Roman" w:hAnsi="Times New Roman"/>
          <w:i/>
          <w:color w:val="1F3A5F"/>
          <w:sz w:val="22"/>
        </w:rPr>
        <w:t>Comment 5: The reference list covers the classical literature well, but the discussion could be strengthened by considering additional recent work on optimizer selection and learning-rate tuning for transformer fine-tuning scenarios.</w:t>
      </w:r>
    </w:p>
    <w:p>
      <w:pPr>
        <w:spacing w:after="200"/>
        <w:ind w:left="216"/>
      </w:pPr>
      <w:r>
        <w:rPr>
          <w:rFonts w:ascii="Times New Roman" w:hAnsi="Times New Roman"/>
          <w:b/>
          <w:sz w:val="22"/>
        </w:rPr>
        <w:t xml:space="preserve">Response: </w:t>
      </w:r>
      <w:r>
        <w:rPr>
          <w:rFonts w:ascii="Times New Roman" w:hAnsi="Times New Roman"/>
          <w:sz w:val="22"/>
        </w:rPr>
        <w:t>We have expanded the discussion with directly relevant recent work. Section 3.7 now discusses parameter-efficient fine-tuning (LoRA, Hu et al., 2022), memory-efficient gradient projection (GaLore, Zhao et al., 2024), and gradient-guided structured adaptation, and we added AdaBelief (Zhuang et al., 2020) to the related-work discussion. We also corrected several citations so that the classical references are attributed accurately (LARS to You, Gitman, and Ginsburg; Grokfast to Lee et al., 2024; Sharpness-Aware Minimization to Foret et al., 2021).</w:t>
      </w:r>
    </w:p>
    <w:p>
      <w:pPr>
        <w:spacing w:before="240" w:after="120"/>
      </w:pPr>
      <w:r>
        <w:rPr>
          <w:rFonts w:ascii="Times New Roman" w:hAnsi="Times New Roman"/>
          <w:b/>
          <w:sz w:val="26"/>
        </w:rPr>
        <w:t>Response to Reviewer #4</w:t>
      </w:r>
    </w:p>
    <w:p>
      <w:r>
        <w:rPr>
          <w:rFonts w:ascii="Times New Roman" w:hAnsi="Times New Roman"/>
          <w:sz w:val="22"/>
        </w:rPr>
        <w:t>We thank Reviewer #4 for the very detailed and rigorous review. The comments identified several genuine inconsistencies in the previous version, and we have worked through each of them carefully. Below we respond point by point.</w:t>
      </w:r>
    </w:p>
    <w:p>
      <w:pPr>
        <w:spacing w:after="80"/>
        <w:ind w:left="216"/>
      </w:pPr>
      <w:r>
        <w:rPr>
          <w:rFonts w:ascii="Times New Roman" w:hAnsi="Times New Roman"/>
          <w:i/>
          <w:color w:val="1F3A5F"/>
          <w:sz w:val="22"/>
        </w:rPr>
        <w:t>1. Correct the central contradiction regarding training regimes. Section 4.1 identifies RTE, TREC-6, and IMDb as DistilBERT fine-tuning tasks. However, the abstract, highlights, discussion, and conclusion describe the 43.6% TREC-6 result as a failure during “from-scratch training.” The authors must clarify whether pretrained DistilBERT weights were used.</w:t>
      </w:r>
    </w:p>
    <w:p>
      <w:pPr>
        <w:spacing w:after="200"/>
        <w:ind w:left="216"/>
      </w:pPr>
      <w:r>
        <w:rPr>
          <w:rFonts w:ascii="Times New Roman" w:hAnsi="Times New Roman"/>
          <w:b/>
          <w:sz w:val="22"/>
        </w:rPr>
        <w:t xml:space="preserve">Response: </w:t>
      </w:r>
      <w:r>
        <w:rPr>
          <w:rFonts w:ascii="Times New Roman" w:hAnsi="Times New Roman"/>
          <w:sz w:val="22"/>
        </w:rPr>
        <w:t>This is a central error in the previous version, and we thank the reviewer for catching it. We have corrected it throughout the manuscript: all NLP datasets (RTE, TREC-6, IMDb, SST-2, MRPC) are explicitly described as fine-tuning experiments using pretrained DistilBERT or BERT-base weights (Section 4.1), and no NLP result is described as from-scratch training anywhere in the abstract, highlights, discussion, or conclusion. The degradation of the discriminative family is now framed exclusively as a fine-tuning observation about the alignment between pretrained features and target labels.</w:t>
      </w:r>
    </w:p>
    <w:p>
      <w:pPr>
        <w:spacing w:after="80"/>
        <w:ind w:left="216"/>
      </w:pPr>
      <w:r>
        <w:rPr>
          <w:rFonts w:ascii="Times New Roman" w:hAnsi="Times New Roman"/>
          <w:i/>
          <w:color w:val="1F3A5F"/>
          <w:sz w:val="22"/>
        </w:rPr>
        <w:t>2. Recalculate the reported cross-dataset performance ranges. The manuscript claims DALS ranges from 90.1% to 98.0%, but Table 2 reports 59.2% on RTE and 76.7% on CIFAR-10; Discriminative LR ranges from 57.8% to 97.1%, not 84.6% to 97.1%. The current analysis selectively excludes lower results.</w:t>
      </w:r>
    </w:p>
    <w:p>
      <w:pPr>
        <w:spacing w:after="200"/>
        <w:ind w:left="216"/>
      </w:pPr>
      <w:r>
        <w:rPr>
          <w:rFonts w:ascii="Times New Roman" w:hAnsi="Times New Roman"/>
          <w:b/>
          <w:sz w:val="22"/>
        </w:rPr>
        <w:t xml:space="preserve">Response: </w:t>
      </w:r>
      <w:r>
        <w:rPr>
          <w:rFonts w:ascii="Times New Roman" w:hAnsi="Times New Roman"/>
          <w:sz w:val="22"/>
        </w:rPr>
        <w:t>We thank the reviewer for this correction. The revised analysis (Section 4.3) now reports the complete cross-dataset ranges: DALS from 53.0% (CIFAR-100) to 97.5% (synthetic), a 44.5-point spread, and Discriminative LR from 38.8% (TREC-6) to 97.9% (synthetic), a 59.1-point spread. We also state explicitly that the narrower ranges reported in earlier drafts were misleading because they selectively excluded the difficult datasets, and we have removed them.</w:t>
      </w:r>
    </w:p>
    <w:p>
      <w:pPr>
        <w:spacing w:after="80"/>
        <w:ind w:left="216"/>
      </w:pPr>
      <w:r>
        <w:rPr>
          <w:rFonts w:ascii="Times New Roman" w:hAnsi="Times New Roman"/>
          <w:i/>
          <w:color w:val="1F3A5F"/>
          <w:sz w:val="22"/>
        </w:rPr>
        <w:t>3. Resolve the convergence-speed inconsistency. Table 3 reports that base DALS reaches 90% synthetic accuracy in three epochs, whereas Section 4.3 states DALS requires nine epochs. The abstract emphasizes that DALS-Fast reaches 90% in three epochs, but Table 3 shows the same value for base DALS.</w:t>
      </w:r>
    </w:p>
    <w:p>
      <w:pPr>
        <w:spacing w:after="200"/>
        <w:ind w:left="216"/>
      </w:pPr>
      <w:r>
        <w:rPr>
          <w:rFonts w:ascii="Times New Roman" w:hAnsi="Times New Roman"/>
          <w:b/>
          <w:sz w:val="22"/>
        </w:rPr>
        <w:t xml:space="preserve">Response: </w:t>
      </w:r>
      <w:r>
        <w:rPr>
          <w:rFonts w:ascii="Times New Roman" w:hAnsi="Times New Roman"/>
          <w:sz w:val="22"/>
        </w:rPr>
        <w:t>We apologize for this inconsistency. The per-epoch accuracy traces from the original runs could not be retained and verified, so we removed Table 3 and all epoch-based convergence claims (including “90% in 3 epochs”) from the abstract, the body, and the tables rather than report numbers we cannot verify. Efficiency is now reported through wall-clock time, peak GPU memory, and throughput (Section 4.5).</w:t>
      </w:r>
    </w:p>
    <w:p>
      <w:pPr>
        <w:spacing w:after="80"/>
        <w:ind w:left="216"/>
      </w:pPr>
      <w:r>
        <w:rPr>
          <w:rFonts w:ascii="Times New Roman" w:hAnsi="Times New Roman"/>
          <w:i/>
          <w:color w:val="1F3A5F"/>
          <w:sz w:val="22"/>
        </w:rPr>
        <w:t>4. Report results over multiple independent runs. A single fixed seed is insufficient, particularly on small datasets such as RTE. Report mean, standard deviation, and preferably 95% confidence intervals over at least five independent seeds, with statistical tests or bootstrap confidence intervals.</w:t>
      </w:r>
    </w:p>
    <w:p>
      <w:pPr>
        <w:spacing w:after="200"/>
        <w:ind w:left="216"/>
      </w:pPr>
      <w:r>
        <w:rPr>
          <w:rFonts w:ascii="Times New Roman" w:hAnsi="Times New Roman"/>
          <w:b/>
          <w:sz w:val="22"/>
        </w:rPr>
        <w:t xml:space="preserve">Response: </w:t>
      </w:r>
      <w:r>
        <w:rPr>
          <w:rFonts w:ascii="Times New Roman" w:hAnsi="Times New Roman"/>
          <w:sz w:val="22"/>
        </w:rPr>
        <w:t>All experiments were re-run over five independent seeds (42, 1337, 2024, 5555, 9999). Table 2 now reports mean ± std, and Section 4.1 states that 95% confidence intervals, paired t-tests, and bootstrap confidence intervals accompany the results (details in the supplementary). In the analysis (Section 4.2) only statistically significant differences are interpreted as robust.</w:t>
      </w:r>
    </w:p>
    <w:p>
      <w:pPr>
        <w:spacing w:after="80"/>
        <w:ind w:left="216"/>
      </w:pPr>
      <w:r>
        <w:rPr>
          <w:rFonts w:ascii="Times New Roman" w:hAnsi="Times New Roman"/>
          <w:i/>
          <w:color w:val="1F3A5F"/>
          <w:sz w:val="22"/>
        </w:rPr>
        <w:t>5. Avoid selecting models using test-set performance. The phrase “best test accuracy” suggests selection using test data. Hyperparameters and checkpoints should be selected using a validation set, followed by one evaluation on the held-out test set.</w:t>
      </w:r>
    </w:p>
    <w:p>
      <w:pPr>
        <w:spacing w:after="200"/>
        <w:ind w:left="216"/>
      </w:pPr>
      <w:r>
        <w:rPr>
          <w:rFonts w:ascii="Times New Roman" w:hAnsi="Times New Roman"/>
          <w:b/>
          <w:sz w:val="22"/>
        </w:rPr>
        <w:t xml:space="preserve">Response: </w:t>
      </w:r>
      <w:r>
        <w:rPr>
          <w:rFonts w:ascii="Times New Roman" w:hAnsi="Times New Roman"/>
          <w:sz w:val="22"/>
        </w:rPr>
        <w:t>We now use validation-based model selection: at the end of each epoch the model is evaluated on a held-out validation split, the checkpoint with the highest validation accuracy is kept, and that checkpoint is evaluated once on the held-out test set (Section 4.1, Model selection and reporting). The phrase “best test accuracy” has been removed from the manuscript.</w:t>
      </w:r>
    </w:p>
    <w:p>
      <w:pPr>
        <w:spacing w:after="80"/>
        <w:ind w:left="216"/>
      </w:pPr>
      <w:r>
        <w:rPr>
          <w:rFonts w:ascii="Times New Roman" w:hAnsi="Times New Roman"/>
          <w:i/>
          <w:color w:val="1F3A5F"/>
          <w:sz w:val="22"/>
        </w:rPr>
        <w:t>6. Implement a fair and equal hyperparameter-tuning protocol. Each strategy should receive an equivalent tuning budget covering learning rate, weight decay, momentum or beta values, warm-up ratio, and scheduler-specific parameters. Search spaces, number of trials, selection criteria, and final settings must be reported.</w:t>
      </w:r>
    </w:p>
    <w:p>
      <w:pPr>
        <w:spacing w:after="200"/>
        <w:ind w:left="216"/>
      </w:pPr>
      <w:r>
        <w:rPr>
          <w:rFonts w:ascii="Times New Roman" w:hAnsi="Times New Roman"/>
          <w:b/>
          <w:sz w:val="22"/>
        </w:rPr>
        <w:t xml:space="preserve">Response: </w:t>
      </w:r>
      <w:r>
        <w:rPr>
          <w:rFonts w:ascii="Times New Roman" w:hAnsi="Times New Roman"/>
          <w:sz w:val="22"/>
        </w:rPr>
        <w:t>We have clarified the exact settings used in Section 4.1 (canonical hyperparameters per optimizer, fine-tuning base rates of 5×10⁻⁵ for Adam-family and 5×10⁻⁴ for SGD-family methods, and the specific DALS base rates and warmup ratios). We acknowledge that a single canonical setting per optimizer is not fully fair and state explicitly that an equal-budget per-method tuning protocol (grid search over learning rate, weight decay, momentum/β, warmup ratio, and scheduler-specific parameters, with the same number of trials and selection on a validation split) is required and is planned (Sections 4.1 and 4.8). We are transparent that this protocol has not yet been carried out at the present scale.</w:t>
      </w:r>
    </w:p>
    <w:p>
      <w:pPr>
        <w:spacing w:after="80"/>
        <w:ind w:left="216"/>
      </w:pPr>
      <w:r>
        <w:rPr>
          <w:rFonts w:ascii="Times New Roman" w:hAnsi="Times New Roman"/>
          <w:i/>
          <w:color w:val="1F3A5F"/>
          <w:sz w:val="22"/>
        </w:rPr>
        <w:t>7. Reconsider the five-generation taxonomy. RAdam, Lookahead, SAM, Lion, Adafactor, and Schedule-Free are placed under Generation 5 although several do not perform joint layer-by-time scheduling. An orthogonal taxonomy based on spatial granularity, temporal scheduling, gradient processing, and update normalization would be more defensible.</w:t>
      </w:r>
    </w:p>
    <w:p>
      <w:pPr>
        <w:spacing w:after="200"/>
        <w:ind w:left="216"/>
      </w:pPr>
      <w:r>
        <w:rPr>
          <w:rFonts w:ascii="Times New Roman" w:hAnsi="Times New Roman"/>
          <w:b/>
          <w:sz w:val="22"/>
        </w:rPr>
        <w:t xml:space="preserve">Response: </w:t>
      </w:r>
      <w:r>
        <w:rPr>
          <w:rFonts w:ascii="Times New Roman" w:hAnsi="Times New Roman"/>
          <w:sz w:val="22"/>
        </w:rPr>
        <w:t>We now present the five-generation framework explicitly as an organizational viewpoint rather than a definitive historical progression (Sections 1 and 4.8), and we acknowledge in Section 1 that several methods (AdaDelta, AdaBelief, NovoGrad, Yogi, Shampoo, Muon, and others) do not fit cleanly into a single generation. In Section 4.8 we discuss the alternative orthogonal taxonomy (spatial granularity, temporal scheduling, gradient processing, update normalization) that the reviewer suggests and leave it as a more defensible direction for future work.</w:t>
      </w:r>
    </w:p>
    <w:p>
      <w:pPr>
        <w:spacing w:after="80"/>
        <w:ind w:left="216"/>
      </w:pPr>
      <w:r>
        <w:rPr>
          <w:rFonts w:ascii="Times New Roman" w:hAnsi="Times New Roman"/>
          <w:i/>
          <w:color w:val="1F3A5F"/>
          <w:sz w:val="22"/>
        </w:rPr>
        <w:t>8. Correct historical attribution and dates. The original LARS method should be attributed to You, Gitman, and Ginsburg. The figure dates and historical claims should be verified. The final ACL version of ULMFiT should be cited. DALS should be presented as the proposed method rather than an already established historical “generation.”</w:t>
      </w:r>
    </w:p>
    <w:p>
      <w:pPr>
        <w:spacing w:after="200"/>
        <w:ind w:left="216"/>
      </w:pPr>
      <w:r>
        <w:rPr>
          <w:rFonts w:ascii="Times New Roman" w:hAnsi="Times New Roman"/>
          <w:b/>
          <w:sz w:val="22"/>
        </w:rPr>
        <w:t xml:space="preserve">Response: </w:t>
      </w:r>
      <w:r>
        <w:rPr>
          <w:rFonts w:ascii="Times New Roman" w:hAnsi="Times New Roman"/>
          <w:sz w:val="22"/>
        </w:rPr>
        <w:t>We have corrected the attributions. LARS is now cited to You, Gitman, and Ginsburg (Large Batch Training of Convolutional Networks with Layer-wise Adaptive Rate Scaling, arXiv:1708.03888); Grokfast is cited to Lee et al. (2024); ULMFiT is cited to the final ACL 2018 version of Howard and Ruder; and DALS is presented explicitly as the proposed method of this paper rather than as an established historical generation (Section 1). The Figure 2 timeline is labeled “approximate, conceptual timeline,” and the text states that the boundaries are approximate and intended for conceptual illustration.</w:t>
      </w:r>
    </w:p>
    <w:p>
      <w:pPr>
        <w:spacing w:after="80"/>
        <w:ind w:left="216"/>
      </w:pPr>
      <w:r>
        <w:rPr>
          <w:rFonts w:ascii="Times New Roman" w:hAnsi="Times New Roman"/>
          <w:i/>
          <w:color w:val="1F3A5F"/>
          <w:sz w:val="22"/>
        </w:rPr>
        <w:t>9. Provide a complete component-wise and interaction ablation study. At minimum compare: cosine schedule only; trust ratio only; Grokfast filtering only; phase adaptation only; depth blending only; cosine plus trust ratio; cosine plus filtering; filtering plus trust ratio; and full DALS.</w:t>
      </w:r>
    </w:p>
    <w:p>
      <w:pPr>
        <w:spacing w:after="200"/>
        <w:ind w:left="216"/>
      </w:pPr>
      <w:r>
        <w:rPr>
          <w:rFonts w:ascii="Times New Roman" w:hAnsi="Times New Roman"/>
          <w:b/>
          <w:sz w:val="22"/>
        </w:rPr>
        <w:t xml:space="preserve">Response: </w:t>
      </w:r>
      <w:r>
        <w:rPr>
          <w:rFonts w:ascii="Times New Roman" w:hAnsi="Times New Roman"/>
          <w:sz w:val="22"/>
        </w:rPr>
        <w:t>We have conducted exactly this ablation study on the synthetic and CIFAR-10 benchmarks over five seeds (Section 4.4). The results show that the warmup-cosine schedule is the foundational component on CIFAR-10 (variants including it reach 82.5–85.0% with std below 0.5, while variants without it drop to 32.4–52.0% with std 20–30), and that the phase, depth, and trust mechanisms provide stability and balance on the synthetic benchmark. We also report full DALS (79.5%) versus cosine-only (85.0%) on CIFAR-10 and discuss the trade-off between the full framework and its simplified variants.</w:t>
      </w:r>
    </w:p>
    <w:p>
      <w:pPr>
        <w:spacing w:after="80"/>
        <w:ind w:left="216"/>
      </w:pPr>
      <w:r>
        <w:rPr>
          <w:rFonts w:ascii="Times New Roman" w:hAnsi="Times New Roman"/>
          <w:i/>
          <w:color w:val="1F3A5F"/>
          <w:sz w:val="22"/>
        </w:rPr>
        <w:t>10. Correct the description of “phase-adaptive cosine scheduling.” Equation 20 defines a predetermined warm-up-plus-cosine schedule that does not depend on the detected phase; the phases affect gradient filtering rather than the learning-rate schedule.</w:t>
      </w:r>
    </w:p>
    <w:p>
      <w:pPr>
        <w:spacing w:after="200"/>
        <w:ind w:left="216"/>
      </w:pPr>
      <w:r>
        <w:rPr>
          <w:rFonts w:ascii="Times New Roman" w:hAnsi="Times New Roman"/>
          <w:b/>
          <w:sz w:val="22"/>
        </w:rPr>
        <w:t xml:space="preserve">Response: </w:t>
      </w:r>
      <w:r>
        <w:rPr>
          <w:rFonts w:ascii="Times New Roman" w:hAnsi="Times New Roman"/>
          <w:sz w:val="22"/>
        </w:rPr>
        <w:t>We agree that the earlier wording was misleading. We have clarified in Sections 3.2 and 3.6 that the learning-rate schedule is a standard warmup-cosine schedule that is independent of the detected phase (Eq. for ηₜ), and that the phase only modulates the EMA smoothing coefficient of the gradient filter. The description has been corrected so that phase-adaptivity is attributed to gradient filtering rather than to the learning-rate schedule.</w:t>
      </w:r>
    </w:p>
    <w:p>
      <w:pPr>
        <w:spacing w:after="80"/>
        <w:ind w:left="216"/>
      </w:pPr>
      <w:r>
        <w:rPr>
          <w:rFonts w:ascii="Times New Roman" w:hAnsi="Times New Roman"/>
          <w:i/>
          <w:color w:val="1F3A5F"/>
          <w:sz w:val="22"/>
        </w:rPr>
        <w:t>11. Clarify the phase and layer notation. In Equation 21, α changes according to phase but not explicitly according to layer. Layer depth is introduced separately in Equation 23. The notation should distinguish phase-dependent smoothing from depth-dependent blending, and the value and initialization of α must be stated clearly.</w:t>
      </w:r>
    </w:p>
    <w:p>
      <w:pPr>
        <w:spacing w:after="200"/>
        <w:ind w:left="216"/>
      </w:pPr>
      <w:r>
        <w:rPr>
          <w:rFonts w:ascii="Times New Roman" w:hAnsi="Times New Roman"/>
          <w:b/>
          <w:sz w:val="22"/>
        </w:rPr>
        <w:t xml:space="preserve">Response: </w:t>
      </w:r>
      <w:r>
        <w:rPr>
          <w:rFonts w:ascii="Times New Roman" w:hAnsi="Times New Roman"/>
          <w:sz w:val="22"/>
        </w:rPr>
        <w:t>We have clarified the notation in Section 3.2. The coefficient αₗ,ₜ is a phase-dependent (temporal) smoothing coefficient whose phase-dependent values are given explicitly (base α₀ = 0.6; phase 0 uses max(0.3, α₀ − 0.3), phase 1 uses α₀, phase 2 uses min(0.9, α₀ + 0.1)). The depth-blending coefficients in the blending equation are depth-dependent (spatial) functions of the normalized depth dₗ = l/(L−1). The two axes are therefore separated by notation, and we state this explicitly in the text.</w:t>
      </w:r>
    </w:p>
    <w:p>
      <w:pPr>
        <w:spacing w:after="80"/>
        <w:ind w:left="216"/>
      </w:pPr>
      <w:r>
        <w:rPr>
          <w:rFonts w:ascii="Times New Roman" w:hAnsi="Times New Roman"/>
          <w:i/>
          <w:color w:val="1F3A5F"/>
          <w:sz w:val="22"/>
        </w:rPr>
        <w:t>12. Resolve the contradiction between Figure 5 and the algorithm. Figure 5 states “Phase 0: no filter,” whereas Equations 21–23 apply filtered gradients during Phase 0 for base DALS. Complete filter bypassing appears to be a DALS-Fast modification only.</w:t>
      </w:r>
    </w:p>
    <w:p>
      <w:pPr>
        <w:spacing w:after="200"/>
        <w:ind w:left="216"/>
      </w:pPr>
      <w:r>
        <w:rPr>
          <w:rFonts w:ascii="Times New Roman" w:hAnsi="Times New Roman"/>
          <w:b/>
          <w:sz w:val="22"/>
        </w:rPr>
        <w:t xml:space="preserve">Response: </w:t>
      </w:r>
      <w:r>
        <w:rPr>
          <w:rFonts w:ascii="Times New Roman" w:hAnsi="Times New Roman"/>
          <w:sz w:val="22"/>
        </w:rPr>
        <w:t>We thank the reviewer for identifying this. The figure caption now states that in base DALS the filter is reduced (not removed) in Phase 0, and that complete filter bypassing in Phase 0 is a DALS-Fast modification only. The figure, the algorithm (Algorithm 1), and Section 3.4 are now consistent on this point.</w:t>
      </w:r>
    </w:p>
    <w:p>
      <w:pPr>
        <w:spacing w:after="80"/>
        <w:ind w:left="216"/>
      </w:pPr>
      <w:r>
        <w:rPr>
          <w:rFonts w:ascii="Times New Roman" w:hAnsi="Times New Roman"/>
          <w:i/>
          <w:color w:val="1F3A5F"/>
          <w:sz w:val="22"/>
        </w:rPr>
        <w:t>13. Provide the complete optimizer algorithm and update order. Weight decay does not appear in Equations 20–26. Pseudocode should specify gradient computation, filtering, trust-ratio calculation, momentum, weight decay, clipping, parameter updates, and phase transitions, and treatment of bias, embeddings, and normalization parameters.</w:t>
      </w:r>
    </w:p>
    <w:p>
      <w:pPr>
        <w:spacing w:after="200"/>
        <w:ind w:left="216"/>
      </w:pPr>
      <w:r>
        <w:rPr>
          <w:rFonts w:ascii="Times New Roman" w:hAnsi="Times New Roman"/>
          <w:b/>
          <w:sz w:val="22"/>
        </w:rPr>
        <w:t xml:space="preserve">Response: </w:t>
      </w:r>
      <w:r>
        <w:rPr>
          <w:rFonts w:ascii="Times New Roman" w:hAnsi="Times New Roman"/>
          <w:sz w:val="22"/>
        </w:rPr>
        <w:t>We have provided a complete pseudocode (Algorithm 1) that specifies, in order: gradient computation; loss-EMA update and phase detection; the warmup-cosine learning-rate schedule; per-layer phase-dependent EMA filtering; depth blending; momentum; trust-ratio calculation; weight decay, which now appears explicitly in the parameter update step (Eq. and Algorithm 1, Step 13: θₜ⁽ˢ⁾ = θₜ₋₁⁽ˢ⁾ − ηₜ·rₜ⁽ˢ⁾·mₜ⁽ˢ⁾ − ηₜλθₜ₋₁⁽ˢ⁾); and phase transitions. Bias, embedding, and normalization parameters are specified to bypass the trust ratio (r = 1) while their gradients still pass through phase/depth filtering.</w:t>
      </w:r>
    </w:p>
    <w:p>
      <w:pPr>
        <w:spacing w:after="80"/>
        <w:ind w:left="216"/>
      </w:pPr>
      <w:r>
        <w:rPr>
          <w:rFonts w:ascii="Times New Roman" w:hAnsi="Times New Roman"/>
          <w:i/>
          <w:color w:val="1F3A5F"/>
          <w:sz w:val="22"/>
        </w:rPr>
        <w:t>14. Justify all manually selected constants and thresholds. The phase thresholds 0.01 and 0.002, loss-EMA coefficient 0.95, depth-blending coefficients 0.3 and 0.7, trust coefficient 0.02, trust-ratio limits 0.2 and 5.0, and warm-up proportion 5% appear heuristic. Sensitivity analyses should demonstrate that DALS is not dependent on one narrowly selected configuration.</w:t>
      </w:r>
    </w:p>
    <w:p>
      <w:pPr>
        <w:spacing w:after="200"/>
        <w:ind w:left="216"/>
      </w:pPr>
      <w:r>
        <w:rPr>
          <w:rFonts w:ascii="Times New Roman" w:hAnsi="Times New Roman"/>
          <w:b/>
          <w:sz w:val="22"/>
        </w:rPr>
        <w:t xml:space="preserve">Response: </w:t>
      </w:r>
      <w:r>
        <w:rPr>
          <w:rFonts w:ascii="Times New Roman" w:hAnsi="Times New Roman"/>
          <w:sz w:val="22"/>
        </w:rPr>
        <w:t>We acknowledge that these constants are heuristic, and we state this openly in Section 4.6, which lists all of them and explains the need for a sensitivity study that varies each over a small grid with the rest fixed. Section 4.8 explicitly lists the absence of a completed sensitivity analysis as a limitation, and running it is part of our stated future work. We are transparent that this study has not yet been completed.</w:t>
      </w:r>
    </w:p>
    <w:p>
      <w:pPr>
        <w:spacing w:after="80"/>
        <w:ind w:left="216"/>
      </w:pPr>
      <w:r>
        <w:rPr>
          <w:rFonts w:ascii="Times New Roman" w:hAnsi="Times New Roman"/>
          <w:i/>
          <w:color w:val="1F3A5F"/>
          <w:sz w:val="22"/>
        </w:rPr>
        <w:t>15. Empirically validate the depth-based gradient assumption. The statement that lower-layer gradients are noisier because they traverse more layers requires evidence (per-layer gradient variance, gradient norms, update-to-weight ratios, gradient-direction consistency). The term “directional bias” should be reconsidered because discriminative learning rates change update magnitude, not necessarily gradient direction.</w:t>
      </w:r>
    </w:p>
    <w:p>
      <w:pPr>
        <w:spacing w:after="200"/>
        <w:ind w:left="216"/>
      </w:pPr>
      <w:r>
        <w:rPr>
          <w:rFonts w:ascii="Times New Roman" w:hAnsi="Times New Roman"/>
          <w:b/>
          <w:sz w:val="22"/>
        </w:rPr>
        <w:t xml:space="preserve">Response: </w:t>
      </w:r>
      <w:r>
        <w:rPr>
          <w:rFonts w:ascii="Times New Roman" w:hAnsi="Times New Roman"/>
          <w:sz w:val="22"/>
        </w:rPr>
        <w:t>We have reframed the depth-based gradient statement as a working hypothesis rather than an established fact (Section 3.6), and we explicitly acknowledge that proper validation requires per-layer gradient variance, gradient norms, update-to-weight ratios, and gradient-direction consistency measurements across training phases. These measurements are planned and are listed as future work in Section 4.8. In addition, we have replaced “directional bias” with “magnitude bias” throughout, since discriminative rates change update magnitude rather than gradient direction.</w:t>
      </w:r>
    </w:p>
    <w:p>
      <w:pPr>
        <w:spacing w:after="80"/>
        <w:ind w:left="216"/>
      </w:pPr>
      <w:r>
        <w:rPr>
          <w:rFonts w:ascii="Times New Roman" w:hAnsi="Times New Roman"/>
          <w:i/>
          <w:color w:val="1F3A5F"/>
          <w:sz w:val="22"/>
        </w:rPr>
        <w:t>16. Expand the benchmark and report additional task metrics. A small ConvNet on CIFAR-10 and one DistilBERT architecture provide limited evidence. Include at least one standard residual network, a vision transformer or larger transfer-learning model, and another pretrained language model. For RTE and TREC-6, report macro-F1 alongside accuracy.</w:t>
      </w:r>
    </w:p>
    <w:p>
      <w:pPr>
        <w:spacing w:after="200"/>
        <w:ind w:left="216"/>
      </w:pPr>
      <w:r>
        <w:rPr>
          <w:rFonts w:ascii="Times New Roman" w:hAnsi="Times New Roman"/>
          <w:b/>
          <w:sz w:val="22"/>
        </w:rPr>
        <w:t xml:space="preserve">Response: </w:t>
      </w:r>
      <w:r>
        <w:rPr>
          <w:rFonts w:ascii="Times New Roman" w:hAnsi="Times New Roman"/>
          <w:sz w:val="22"/>
        </w:rPr>
        <w:t>We have expanded the benchmark to ten datasets: we added CIFAR-100 (a larger from-scratch image task) and SST-2 and MRPC, each fine-tuned on both DistilBERT and the larger BERT-base pretrained model. Macro-F1 is now reported alongside accuracy (Section 4.1). We acknowledge that a standard residual network, a vision transformer, and additional pretrained language models remain future work (Section 4.8).</w:t>
      </w:r>
    </w:p>
    <w:p>
      <w:pPr>
        <w:spacing w:after="80"/>
        <w:ind w:left="216"/>
      </w:pPr>
      <w:r>
        <w:rPr>
          <w:rFonts w:ascii="Times New Roman" w:hAnsi="Times New Roman"/>
          <w:i/>
          <w:color w:val="1F3A5F"/>
          <w:sz w:val="22"/>
        </w:rPr>
        <w:t>17. Strengthen efficiency, reproducibility, and manuscript presentation. Quantify DALS's computational overhead across all datasets; report hardware, software versions, dataset preprocessing, tokenizer settings, seeds, exact splits, configuration files, and a permanent code commit; and correct language/formatting issues.</w:t>
      </w:r>
    </w:p>
    <w:p>
      <w:pPr>
        <w:spacing w:after="200"/>
        <w:ind w:left="216"/>
      </w:pPr>
      <w:r>
        <w:rPr>
          <w:rFonts w:ascii="Times New Roman" w:hAnsi="Times New Roman"/>
          <w:b/>
          <w:sz w:val="22"/>
        </w:rPr>
        <w:t xml:space="preserve">Response: </w:t>
      </w:r>
      <w:r>
        <w:rPr>
          <w:rFonts w:ascii="Times New Roman" w:hAnsi="Times New Roman"/>
          <w:sz w:val="22"/>
        </w:rPr>
        <w:t>Efficiency: we added Section 4.5, which reports wall-clock time, peak GPU memory, and throughput on each dataset averaged over five seeds, with details in the supplementary material; for example, on CIFAR-10 DALS takes 465.0 s and 225 MB versus 305.4 s and 199 MB for SGDR. Reproducibility: we added Section 4.7, which reports the five seeds, the hardware used (NVIDIA RTX 4070 and NVIDIA RTX 4060 Laptop), and states that data splits, tokenization settings, and software versions will be provided with the code. Presentation: we fixed the language and formatting issues the reviewer listed, including “This research systematizes this evolution,” the missing comma between RTE and TREC-6, corrupted symbols, inconsistent capitalization, and the incorrect “four-layer MLP” description (the architecture is 64→128→128→10 and is now described as having two hidden layers).</w:t>
      </w:r>
    </w:p>
    <w:p>
      <w:pPr>
        <w:spacing w:after="80"/>
        <w:ind w:left="216"/>
      </w:pPr>
      <w:r>
        <w:rPr>
          <w:rFonts w:ascii="Times New Roman" w:hAnsi="Times New Roman"/>
          <w:i/>
          <w:color w:val="1F3A5F"/>
          <w:sz w:val="22"/>
        </w:rPr>
        <w:t>18. The related-work discussion should be expanded to include recent parameter-efficient fine-tuning methods, in particular gradient-guided structured adaptation of large language models. [REFERENCES REMOVED BY EDITOR]</w:t>
      </w:r>
    </w:p>
    <w:p>
      <w:pPr>
        <w:spacing w:after="200"/>
        <w:ind w:left="216"/>
      </w:pPr>
      <w:r>
        <w:rPr>
          <w:rFonts w:ascii="Times New Roman" w:hAnsi="Times New Roman"/>
          <w:b/>
          <w:sz w:val="22"/>
        </w:rPr>
        <w:t xml:space="preserve">Response: </w:t>
      </w:r>
      <w:r>
        <w:rPr>
          <w:rFonts w:ascii="Times New Roman" w:hAnsi="Times New Roman"/>
          <w:sz w:val="22"/>
        </w:rPr>
        <w:t>We thank the reviewer for this suggestion. We have expanded Section 3.7 to discuss gradient-guided structured adaptation and its complementarity with learning-rate engineering, and we cite directly relevant recent work there (LoRA, Hu et al., 2022; GaLore, Zhao et al., 2024). Because the exact reference list in the comment was not retained in the review file, we were unable to identify the specific study cited; if the editor or reviewer can share it, we will be glad to add it. In line with the Associate Editor's guidance, we incorporated the conceptual point and the directly relevant references.</w:t>
      </w:r>
    </w:p>
    <w:p>
      <w:pPr>
        <w:spacing w:before="240" w:after="120"/>
      </w:pPr>
      <w:r>
        <w:rPr>
          <w:rFonts w:ascii="Times New Roman" w:hAnsi="Times New Roman"/>
          <w:b/>
          <w:sz w:val="26"/>
        </w:rPr>
        <w:t>Response to Reviewer #5</w:t>
      </w:r>
    </w:p>
    <w:p>
      <w:r>
        <w:rPr>
          <w:rFonts w:ascii="Times New Roman" w:hAnsi="Times New Roman"/>
          <w:sz w:val="22"/>
        </w:rPr>
        <w:t>We thank Reviewer #5 for the careful review and for acknowledging the interest of the taxonomy and the benchmark. We address each comment below.</w:t>
      </w:r>
    </w:p>
    <w:p>
      <w:pPr>
        <w:spacing w:after="80"/>
        <w:ind w:left="216"/>
      </w:pPr>
      <w:r>
        <w:rPr>
          <w:rFonts w:ascii="Times New Roman" w:hAnsi="Times New Roman"/>
          <w:i/>
          <w:color w:val="1F3A5F"/>
          <w:sz w:val="22"/>
        </w:rPr>
        <w:t>1. Limited algorithmic novelty. DALS mainly integrates existing techniques (Cosine Annealing, Grokfast filtering, LARS-style trust ratio, SGD with momentum) rather than introducing a fundamentally new optimization algorithm.</w:t>
      </w:r>
    </w:p>
    <w:p>
      <w:pPr>
        <w:spacing w:after="200"/>
        <w:ind w:left="216"/>
      </w:pPr>
      <w:r>
        <w:rPr>
          <w:rFonts w:ascii="Times New Roman" w:hAnsi="Times New Roman"/>
          <w:b/>
          <w:sz w:val="22"/>
        </w:rPr>
        <w:t xml:space="preserve">Response: </w:t>
      </w:r>
      <w:r>
        <w:rPr>
          <w:rFonts w:ascii="Times New Roman" w:hAnsi="Times New Roman"/>
          <w:sz w:val="22"/>
        </w:rPr>
        <w:t>We agree, and we now present DALS as a controlled composition of existing techniques with a clearly articulated design rationale rather than claiming fundamental algorithmic novelty. Section 3.3 states the principle (phase- and depth-adaptive gradient processing under a phase-independent warmup-cosine schedule), Section 3.7 documents the origin and adaptation of each component, and Section 4.4 provides the ablation evidence for the specific coordination. The claimed contribution is the coordinated design and the empirical analysis of when it helps, not a brand-new update rule.</w:t>
      </w:r>
    </w:p>
    <w:p>
      <w:pPr>
        <w:spacing w:after="80"/>
        <w:ind w:left="216"/>
      </w:pPr>
      <w:r>
        <w:rPr>
          <w:rFonts w:ascii="Times New Roman" w:hAnsi="Times New Roman"/>
          <w:i/>
          <w:color w:val="1F3A5F"/>
          <w:sz w:val="22"/>
        </w:rPr>
        <w:t>2. Limited theoretical support. Most design choices are heuristic and lack theoretical justification or convergence analysis.</w:t>
      </w:r>
    </w:p>
    <w:p>
      <w:pPr>
        <w:spacing w:after="200"/>
        <w:ind w:left="216"/>
      </w:pPr>
      <w:r>
        <w:rPr>
          <w:rFonts w:ascii="Times New Roman" w:hAnsi="Times New Roman"/>
          <w:b/>
          <w:sz w:val="22"/>
        </w:rPr>
        <w:t xml:space="preserve">Response: </w:t>
      </w:r>
      <w:r>
        <w:rPr>
          <w:rFonts w:ascii="Times New Roman" w:hAnsi="Times New Roman"/>
          <w:sz w:val="22"/>
        </w:rPr>
        <w:t>We have added Section 3.6, Theoretical Considerations and Open Questions, which proves a step-size bound from the clamped trust ratio, clarifies that the phase partition affects only gradient filtering (not the learning-rate schedule, which is a standard warmup-cosine schedule), and explicitly acknowledges that a formal convergence analysis and a principled derivation of the thresholds remain open (Sections 3.6 and 4.8).</w:t>
      </w:r>
    </w:p>
    <w:p>
      <w:pPr>
        <w:spacing w:after="80"/>
        <w:ind w:left="216"/>
      </w:pPr>
      <w:r>
        <w:rPr>
          <w:rFonts w:ascii="Times New Roman" w:hAnsi="Times New Roman"/>
          <w:i/>
          <w:color w:val="1F3A5F"/>
          <w:sz w:val="22"/>
        </w:rPr>
        <w:t>3. Insufficient ablation study. The paper does not adequately isolate the contribution of each component (phase adaptation, Grokfast filtering, trust ratio, etc.).</w:t>
      </w:r>
    </w:p>
    <w:p>
      <w:pPr>
        <w:spacing w:after="200"/>
        <w:ind w:left="216"/>
      </w:pPr>
      <w:r>
        <w:rPr>
          <w:rFonts w:ascii="Times New Roman" w:hAnsi="Times New Roman"/>
          <w:b/>
          <w:sz w:val="22"/>
        </w:rPr>
        <w:t xml:space="preserve">Response: </w:t>
      </w:r>
      <w:r>
        <w:rPr>
          <w:rFonts w:ascii="Times New Roman" w:hAnsi="Times New Roman"/>
          <w:sz w:val="22"/>
        </w:rPr>
        <w:t>We have conducted the full component-wise and pairwise ablation study on the synthetic and CIFAR-10 benchmarks over five seeds (Section 4.4), comparing the nine variants recommended by Reviewer #4. The results show that the warmup-cosine schedule is the most critical component on CIFAR-10 and that the phase, depth, and trust mechanisms contribute stability on the synthetic benchmark.</w:t>
      </w:r>
    </w:p>
    <w:p>
      <w:pPr>
        <w:spacing w:after="80"/>
        <w:ind w:left="216"/>
      </w:pPr>
      <w:r>
        <w:rPr>
          <w:rFonts w:ascii="Times New Roman" w:hAnsi="Times New Roman"/>
          <w:i/>
          <w:color w:val="1F3A5F"/>
          <w:sz w:val="22"/>
        </w:rPr>
        <w:t>4. Weak experimental validation. The evaluation is limited to relatively small-scale benchmarks and moderate-sized architectures, reducing the generality of the conclusions.</w:t>
      </w:r>
    </w:p>
    <w:p>
      <w:pPr>
        <w:spacing w:after="200"/>
        <w:ind w:left="216"/>
      </w:pPr>
      <w:r>
        <w:rPr>
          <w:rFonts w:ascii="Times New Roman" w:hAnsi="Times New Roman"/>
          <w:b/>
          <w:sz w:val="22"/>
        </w:rPr>
        <w:t xml:space="preserve">Response: </w:t>
      </w:r>
      <w:r>
        <w:rPr>
          <w:rFonts w:ascii="Times New Roman" w:hAnsi="Times New Roman"/>
          <w:sz w:val="22"/>
        </w:rPr>
        <w:t>We have expanded the evaluation to ten datasets, adding CIFAR-100 (from-scratch) and SST-2 and MRPC, each fine-tuned on both DistilBERT and the larger BERT-base model. Section 4.8 now discusses the limits of the current setup and states explicitly that larger and more modern architectures (e.g., Vision Transformers, ImageNet-scale training, and PEFT-based LLM fine-tuning) are needed before the conclusions can be generalized.</w:t>
      </w:r>
    </w:p>
    <w:p>
      <w:pPr>
        <w:spacing w:after="80"/>
        <w:ind w:left="216"/>
      </w:pPr>
      <w:r>
        <w:rPr>
          <w:rFonts w:ascii="Times New Roman" w:hAnsi="Times New Roman"/>
          <w:i/>
          <w:color w:val="1F3A5F"/>
          <w:sz w:val="22"/>
        </w:rPr>
        <w:t>5. Limited analysis of the results. The discussion section is too brief and does not sufficiently analyze the observed behaviors, failure cases, or limitations of the proposed method.</w:t>
      </w:r>
    </w:p>
    <w:p>
      <w:pPr>
        <w:spacing w:after="200"/>
        <w:ind w:left="216"/>
      </w:pPr>
      <w:r>
        <w:rPr>
          <w:rFonts w:ascii="Times New Roman" w:hAnsi="Times New Roman"/>
          <w:b/>
          <w:sz w:val="22"/>
        </w:rPr>
        <w:t xml:space="preserve">Response: </w:t>
      </w:r>
      <w:r>
        <w:rPr>
          <w:rFonts w:ascii="Times New Roman" w:hAnsi="Times New Roman"/>
          <w:sz w:val="22"/>
        </w:rPr>
        <w:t>We have substantially expanded the Analysis and Discussion (Section 4.3) with new subsections on: regime-dependent behavior across the ten datasets; the marked degradation of the discriminative fine-tuning family on MRPC and TREC-6 (including the near-majority-class behavior on MRPC); when discriminative methods work (e.g., on IMDb); DALS vs. the strongest baselines; and why adaptive methods dominate NLP fine-tuning. Failure cases and limitations are discussed in Sections 4.3, 4.6, and 4.8.</w:t>
      </w:r>
    </w:p>
    <w:p>
      <w:pPr>
        <w:spacing w:after="80"/>
        <w:ind w:left="216"/>
      </w:pPr>
      <w:r>
        <w:rPr>
          <w:rFonts w:ascii="Times New Roman" w:hAnsi="Times New Roman"/>
          <w:i/>
          <w:color w:val="1F3A5F"/>
          <w:sz w:val="22"/>
        </w:rPr>
        <w:t>6. Missing efficiency and statistical evaluation. The manuscript does not provide a comprehensive analysis of computational overhead, scalability, hyperparameter sensitivity, or statistical significance of the reported improvements.</w:t>
      </w:r>
    </w:p>
    <w:p>
      <w:pPr>
        <w:spacing w:after="200"/>
        <w:ind w:left="216"/>
      </w:pPr>
      <w:r>
        <w:rPr>
          <w:rFonts w:ascii="Times New Roman" w:hAnsi="Times New Roman"/>
          <w:b/>
          <w:sz w:val="22"/>
        </w:rPr>
        <w:t xml:space="preserve">Response: </w:t>
      </w:r>
      <w:r>
        <w:rPr>
          <w:rFonts w:ascii="Times New Roman" w:hAnsi="Times New Roman"/>
          <w:sz w:val="22"/>
        </w:rPr>
        <w:t>We have added an efficiency analysis (Section 4.5) reporting wall-clock time, peak GPU memory, and throughput per dataset over five seeds, and we now report all results as mean ± std over five seeds with 95% confidence intervals, paired t-tests, and bootstrap confidence intervals (Section 4.1). Hyperparameter sensitivity is discussed in Section 4.6, and the completion of the sensitivity study and per-layer gradient measurements is explicitly listed as future work in Section 4.8.</w:t>
      </w:r>
    </w:p>
    <w:p/>
    <w:p>
      <w:r>
        <w:rPr>
          <w:rFonts w:ascii="Times New Roman" w:hAnsi="Times New Roman"/>
          <w:sz w:val="22"/>
        </w:rPr>
        <w:t>We believe the revised manuscript now addresses all the reviewers' comments, and we are grateful for the time and expertise the reviewers and editors devoted to our work. We hope that the revised version is now suitable for publication in Neurocomputing, and we remain at the disposal of the editorial team for any further requests.</w:t>
      </w:r>
    </w:p>
    <w:p>
      <w:r>
        <w:rPr>
          <w:rFonts w:ascii="Times New Roman" w:hAnsi="Times New Roman"/>
          <w:sz w:val="22"/>
        </w:rPr>
        <w:t>Yours sincerely,</w:t>
      </w:r>
    </w:p>
    <w:p>
      <w:r>
        <w:rPr>
          <w:rFonts w:ascii="Times New Roman" w:hAnsi="Times New Roman"/>
          <w:sz w:val="22"/>
        </w:rPr>
        <w:t>Qiu-Ye Yu (on behalf of all authors)</w:t>
        <w:br/>
        <w:t>Ming-Hong Yao, Di Wang, Jian Cui</w:t>
        <w:br/>
        <w:t>Corresponding author contact: Qiu-Ye Yu</w:t>
        <w:br/>
        <w:t>Manuscript: NEUCOM-D-26-12332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